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06B" w:rsidRPr="00D8707E" w:rsidRDefault="00400B40" w:rsidP="003F0E89">
      <w:pPr>
        <w:pStyle w:val="7-TitreAPROPOS"/>
        <w:pBdr>
          <w:left w:val="none" w:sz="0" w:space="0" w:color="auto"/>
        </w:pBdr>
        <w:rPr>
          <w:b w:val="0"/>
        </w:rPr>
      </w:pPr>
      <w:r w:rsidRPr="00D8707E">
        <w:rPr>
          <w:b w:val="0"/>
        </w:rPr>
        <w:t xml:space="preserve">Paris, le </w:t>
      </w:r>
      <w:r w:rsidR="002B443A" w:rsidRPr="00D8707E">
        <w:rPr>
          <w:b w:val="0"/>
        </w:rPr>
        <w:t>4 novembre</w:t>
      </w:r>
      <w:r w:rsidR="000F0C59" w:rsidRPr="00D8707E">
        <w:rPr>
          <w:b w:val="0"/>
        </w:rPr>
        <w:t xml:space="preserve"> </w:t>
      </w:r>
      <w:r w:rsidR="004C7B7C" w:rsidRPr="00D8707E">
        <w:rPr>
          <w:b w:val="0"/>
        </w:rPr>
        <w:t>2014</w:t>
      </w:r>
      <w:r w:rsidR="001D606B" w:rsidRPr="00D8707E">
        <w:rPr>
          <w:b w:val="0"/>
        </w:rPr>
        <w:t xml:space="preserve"> </w:t>
      </w:r>
    </w:p>
    <w:p w:rsidR="009C114A" w:rsidRPr="0048434A" w:rsidRDefault="009C114A" w:rsidP="004C7B7C">
      <w:pPr>
        <w:pStyle w:val="2-DATEcommuniqu"/>
        <w:spacing w:before="0"/>
        <w:rPr>
          <w:sz w:val="16"/>
        </w:rPr>
      </w:pPr>
    </w:p>
    <w:tbl>
      <w:tblPr>
        <w:tblW w:w="0" w:type="auto"/>
        <w:shd w:val="solid" w:color="E9DDDD" w:fill="E9DDDD"/>
        <w:tblLayout w:type="fixed"/>
        <w:tblLook w:val="01E0" w:firstRow="1" w:lastRow="1" w:firstColumn="1" w:lastColumn="1" w:noHBand="0" w:noVBand="0"/>
      </w:tblPr>
      <w:tblGrid>
        <w:gridCol w:w="9662"/>
      </w:tblGrid>
      <w:tr w:rsidR="002B443A" w:rsidRPr="002B443A" w:rsidTr="006F43DB">
        <w:trPr>
          <w:trHeight w:val="7307"/>
        </w:trPr>
        <w:tc>
          <w:tcPr>
            <w:tcW w:w="9662" w:type="dxa"/>
            <w:shd w:val="solid" w:color="E9DDDD" w:fill="E9DDDD"/>
          </w:tcPr>
          <w:p w:rsidR="004C7B7C" w:rsidRPr="002B443A" w:rsidRDefault="004C7B7C" w:rsidP="000448B3">
            <w:pPr>
              <w:pStyle w:val="Titreparagraphe"/>
              <w:tabs>
                <w:tab w:val="left" w:pos="426"/>
              </w:tabs>
              <w:spacing w:before="0"/>
              <w:ind w:right="283"/>
              <w:rPr>
                <w:color w:val="FF0000"/>
                <w:spacing w:val="-16"/>
                <w:sz w:val="10"/>
                <w:szCs w:val="10"/>
              </w:rPr>
            </w:pPr>
          </w:p>
          <w:tbl>
            <w:tblPr>
              <w:tblStyle w:val="Grilledutableau"/>
              <w:tblW w:w="9158" w:type="dxa"/>
              <w:tblInd w:w="137" w:type="dxa"/>
              <w:tblLayout w:type="fixed"/>
              <w:tblLook w:val="04A0" w:firstRow="1" w:lastRow="0" w:firstColumn="1" w:lastColumn="0" w:noHBand="0" w:noVBand="1"/>
            </w:tblPr>
            <w:tblGrid>
              <w:gridCol w:w="9158"/>
            </w:tblGrid>
            <w:tr w:rsidR="002B443A" w:rsidRPr="002B443A" w:rsidTr="006F43DB">
              <w:trPr>
                <w:trHeight w:val="964"/>
              </w:trPr>
              <w:tc>
                <w:tcPr>
                  <w:tcW w:w="9158" w:type="dxa"/>
                  <w:tcBorders>
                    <w:top w:val="nil"/>
                    <w:left w:val="nil"/>
                    <w:bottom w:val="nil"/>
                    <w:right w:val="nil"/>
                  </w:tcBorders>
                  <w:shd w:val="clear" w:color="auto" w:fill="581D74" w:themeFill="accent1"/>
                  <w:vAlign w:val="center"/>
                </w:tcPr>
                <w:p w:rsidR="0040460D" w:rsidRDefault="0040460D" w:rsidP="0040460D">
                  <w:pPr>
                    <w:pStyle w:val="Titreparagraphe"/>
                    <w:tabs>
                      <w:tab w:val="left" w:pos="426"/>
                    </w:tabs>
                    <w:spacing w:before="0"/>
                    <w:ind w:right="34"/>
                    <w:rPr>
                      <w:color w:val="FFFFFF" w:themeColor="background1"/>
                      <w:szCs w:val="24"/>
                    </w:rPr>
                  </w:pPr>
                  <w:r>
                    <w:rPr>
                      <w:color w:val="FFFFFF" w:themeColor="background1"/>
                      <w:szCs w:val="24"/>
                    </w:rPr>
                    <w:t>Résultats</w:t>
                  </w:r>
                  <w:bookmarkStart w:id="0" w:name="_Ref402797840"/>
                  <w:r w:rsidR="00636519">
                    <w:rPr>
                      <w:rStyle w:val="Appelnotedebasdep"/>
                      <w:color w:val="FFFFFF" w:themeColor="background1"/>
                      <w:szCs w:val="24"/>
                    </w:rPr>
                    <w:footnoteReference w:id="1"/>
                  </w:r>
                  <w:bookmarkEnd w:id="0"/>
                  <w:r>
                    <w:rPr>
                      <w:color w:val="FFFFFF" w:themeColor="background1"/>
                      <w:szCs w:val="24"/>
                    </w:rPr>
                    <w:t xml:space="preserve"> du 3</w:t>
                  </w:r>
                  <w:r w:rsidRPr="00B0587F">
                    <w:rPr>
                      <w:color w:val="FFFFFF" w:themeColor="background1"/>
                      <w:szCs w:val="24"/>
                      <w:vertAlign w:val="superscript"/>
                    </w:rPr>
                    <w:t>e</w:t>
                  </w:r>
                  <w:r>
                    <w:rPr>
                      <w:color w:val="FFFFFF" w:themeColor="background1"/>
                      <w:szCs w:val="24"/>
                    </w:rPr>
                    <w:t xml:space="preserve"> trimestre et des 9 premiers mois de 2014 : </w:t>
                  </w:r>
                </w:p>
                <w:p w:rsidR="0040460D" w:rsidRDefault="0040460D" w:rsidP="0040460D">
                  <w:pPr>
                    <w:pStyle w:val="Titreparagraphe"/>
                    <w:tabs>
                      <w:tab w:val="left" w:pos="426"/>
                    </w:tabs>
                    <w:spacing w:before="0"/>
                    <w:ind w:right="283"/>
                    <w:rPr>
                      <w:color w:val="FFFFFF" w:themeColor="background1"/>
                      <w:szCs w:val="24"/>
                    </w:rPr>
                  </w:pPr>
                  <w:r>
                    <w:rPr>
                      <w:color w:val="FFFFFF" w:themeColor="background1"/>
                      <w:szCs w:val="24"/>
                    </w:rPr>
                    <w:t>U</w:t>
                  </w:r>
                  <w:r w:rsidRPr="006E2EFD">
                    <w:rPr>
                      <w:color w:val="FFFFFF" w:themeColor="background1"/>
                      <w:szCs w:val="24"/>
                    </w:rPr>
                    <w:t>n résultat net part du groupe</w:t>
                  </w:r>
                  <w:bookmarkStart w:id="1" w:name="_Ref402525668"/>
                  <w:r w:rsidRPr="006E2EFD">
                    <w:rPr>
                      <w:rStyle w:val="Appelnotedebasdep"/>
                      <w:color w:val="FFFFFF" w:themeColor="background1"/>
                      <w:szCs w:val="24"/>
                    </w:rPr>
                    <w:footnoteReference w:id="2"/>
                  </w:r>
                  <w:bookmarkEnd w:id="1"/>
                  <w:r w:rsidRPr="006E2EFD">
                    <w:rPr>
                      <w:color w:val="FFFFFF" w:themeColor="background1"/>
                      <w:szCs w:val="24"/>
                    </w:rPr>
                    <w:t xml:space="preserve"> </w:t>
                  </w:r>
                  <w:r w:rsidR="00FE2847">
                    <w:rPr>
                      <w:color w:val="FFFFFF" w:themeColor="background1"/>
                      <w:szCs w:val="24"/>
                    </w:rPr>
                    <w:t>robuste de 2,5 </w:t>
                  </w:r>
                  <w:r w:rsidR="00F7059E">
                    <w:rPr>
                      <w:color w:val="FFFFFF" w:themeColor="background1"/>
                      <w:szCs w:val="24"/>
                    </w:rPr>
                    <w:t>Md€</w:t>
                  </w:r>
                  <w:r w:rsidRPr="006E2EFD">
                    <w:rPr>
                      <w:color w:val="FFFFFF" w:themeColor="background1"/>
                      <w:szCs w:val="24"/>
                    </w:rPr>
                    <w:t xml:space="preserve"> sur </w:t>
                  </w:r>
                  <w:r>
                    <w:rPr>
                      <w:color w:val="FFFFFF" w:themeColor="background1"/>
                      <w:szCs w:val="24"/>
                    </w:rPr>
                    <w:t>9M-14</w:t>
                  </w:r>
                  <w:r w:rsidR="00D9508C">
                    <w:rPr>
                      <w:color w:val="FFFFFF" w:themeColor="background1"/>
                      <w:szCs w:val="24"/>
                    </w:rPr>
                    <w:t xml:space="preserve"> (+ 8,2 %) et de </w:t>
                  </w:r>
                  <w:r w:rsidR="00FE2847">
                    <w:rPr>
                      <w:color w:val="FFFFFF" w:themeColor="background1"/>
                      <w:szCs w:val="24"/>
                    </w:rPr>
                    <w:t>810 </w:t>
                  </w:r>
                  <w:r w:rsidR="00F7059E">
                    <w:rPr>
                      <w:color w:val="FFFFFF" w:themeColor="background1"/>
                      <w:szCs w:val="24"/>
                    </w:rPr>
                    <w:t>M€</w:t>
                  </w:r>
                  <w:r>
                    <w:rPr>
                      <w:color w:val="FFFFFF" w:themeColor="background1"/>
                      <w:szCs w:val="24"/>
                    </w:rPr>
                    <w:t xml:space="preserve"> au T3-14</w:t>
                  </w:r>
                  <w:r w:rsidR="00D9508C">
                    <w:rPr>
                      <w:color w:val="FFFFFF" w:themeColor="background1"/>
                      <w:szCs w:val="24"/>
                    </w:rPr>
                    <w:t xml:space="preserve"> (+ 4,0 %)</w:t>
                  </w:r>
                  <w:r w:rsidRPr="006E2EFD">
                    <w:rPr>
                      <w:color w:val="FFFFFF" w:themeColor="background1"/>
                      <w:szCs w:val="24"/>
                    </w:rPr>
                    <w:t>, permettant de</w:t>
                  </w:r>
                  <w:r>
                    <w:rPr>
                      <w:color w:val="FFFFFF" w:themeColor="background1"/>
                      <w:szCs w:val="24"/>
                    </w:rPr>
                    <w:t xml:space="preserve"> </w:t>
                  </w:r>
                  <w:r w:rsidR="00D9508C">
                    <w:rPr>
                      <w:color w:val="FFFFFF" w:themeColor="background1"/>
                      <w:szCs w:val="24"/>
                    </w:rPr>
                    <w:t xml:space="preserve">porter le </w:t>
                  </w:r>
                  <w:r>
                    <w:rPr>
                      <w:color w:val="FFFFFF" w:themeColor="background1"/>
                      <w:szCs w:val="24"/>
                    </w:rPr>
                    <w:t xml:space="preserve">ratio de Common </w:t>
                  </w:r>
                  <w:proofErr w:type="spellStart"/>
                  <w:r>
                    <w:rPr>
                      <w:color w:val="FFFFFF" w:themeColor="background1"/>
                      <w:szCs w:val="24"/>
                    </w:rPr>
                    <w:t>Equity</w:t>
                  </w:r>
                  <w:proofErr w:type="spellEnd"/>
                  <w:r>
                    <w:rPr>
                      <w:color w:val="FFFFFF" w:themeColor="background1"/>
                      <w:szCs w:val="24"/>
                    </w:rPr>
                    <w:t xml:space="preserve"> </w:t>
                  </w:r>
                  <w:proofErr w:type="spellStart"/>
                  <w:r>
                    <w:rPr>
                      <w:color w:val="FFFFFF" w:themeColor="background1"/>
                      <w:szCs w:val="24"/>
                    </w:rPr>
                    <w:t>Tier</w:t>
                  </w:r>
                  <w:proofErr w:type="spellEnd"/>
                  <w:r>
                    <w:rPr>
                      <w:color w:val="FFFFFF" w:themeColor="background1"/>
                      <w:szCs w:val="24"/>
                    </w:rPr>
                    <w:t xml:space="preserve"> 1</w:t>
                  </w:r>
                  <w:bookmarkStart w:id="2" w:name="_Ref402525657"/>
                  <w:r>
                    <w:rPr>
                      <w:rStyle w:val="Appelnotedebasdep"/>
                      <w:color w:val="FFFFFF" w:themeColor="background1"/>
                      <w:szCs w:val="24"/>
                    </w:rPr>
                    <w:footnoteReference w:id="3"/>
                  </w:r>
                  <w:bookmarkEnd w:id="2"/>
                  <w:r w:rsidR="00662018">
                    <w:rPr>
                      <w:color w:val="FFFFFF" w:themeColor="background1"/>
                      <w:szCs w:val="24"/>
                    </w:rPr>
                    <w:t> </w:t>
                  </w:r>
                  <w:r w:rsidR="00D9508C">
                    <w:rPr>
                      <w:color w:val="FFFFFF" w:themeColor="background1"/>
                      <w:szCs w:val="24"/>
                    </w:rPr>
                    <w:t xml:space="preserve">à 11,5 % (+ 110 </w:t>
                  </w:r>
                  <w:proofErr w:type="spellStart"/>
                  <w:r w:rsidR="00D9508C">
                    <w:rPr>
                      <w:color w:val="FFFFFF" w:themeColor="background1"/>
                      <w:szCs w:val="24"/>
                    </w:rPr>
                    <w:t>pb</w:t>
                  </w:r>
                  <w:proofErr w:type="spellEnd"/>
                  <w:r w:rsidR="00D9508C">
                    <w:rPr>
                      <w:color w:val="FFFFFF" w:themeColor="background1"/>
                      <w:szCs w:val="24"/>
                    </w:rPr>
                    <w:t xml:space="preserve"> depuis le </w:t>
                  </w:r>
                  <w:r w:rsidR="00FB36AB">
                    <w:rPr>
                      <w:color w:val="FFFFFF" w:themeColor="background1"/>
                      <w:szCs w:val="24"/>
                    </w:rPr>
                    <w:t>31/12/2013</w:t>
                  </w:r>
                  <w:r>
                    <w:rPr>
                      <w:color w:val="FFFFFF" w:themeColor="background1"/>
                      <w:szCs w:val="24"/>
                    </w:rPr>
                    <w:t>)</w:t>
                  </w:r>
                </w:p>
                <w:p w:rsidR="000448B3" w:rsidRPr="002B443A" w:rsidRDefault="000448B3" w:rsidP="0040460D">
                  <w:pPr>
                    <w:pStyle w:val="Titreparagraphe"/>
                    <w:tabs>
                      <w:tab w:val="left" w:pos="426"/>
                    </w:tabs>
                    <w:spacing w:before="0"/>
                    <w:ind w:right="34"/>
                    <w:rPr>
                      <w:color w:val="FF0000"/>
                      <w:spacing w:val="-16"/>
                      <w:sz w:val="10"/>
                      <w:szCs w:val="10"/>
                    </w:rPr>
                  </w:pPr>
                </w:p>
              </w:tc>
            </w:tr>
          </w:tbl>
          <w:p w:rsidR="009C114A" w:rsidRPr="002B443A" w:rsidRDefault="009C114A" w:rsidP="003F50E7">
            <w:pPr>
              <w:pStyle w:val="Titreparagraphe"/>
              <w:tabs>
                <w:tab w:val="left" w:pos="426"/>
              </w:tabs>
              <w:spacing w:before="0"/>
              <w:ind w:left="170" w:right="283"/>
              <w:rPr>
                <w:color w:val="FF0000"/>
                <w:spacing w:val="-16"/>
                <w:sz w:val="18"/>
                <w:szCs w:val="24"/>
              </w:rPr>
            </w:pPr>
          </w:p>
          <w:p w:rsidR="0040460D" w:rsidRPr="002B443A" w:rsidRDefault="0040460D" w:rsidP="0040460D">
            <w:pPr>
              <w:pStyle w:val="Titreparagraphe"/>
              <w:numPr>
                <w:ilvl w:val="0"/>
                <w:numId w:val="3"/>
              </w:numPr>
              <w:tabs>
                <w:tab w:val="left" w:pos="426"/>
              </w:tabs>
              <w:spacing w:before="0"/>
              <w:ind w:left="426" w:right="165" w:hanging="256"/>
              <w:rPr>
                <w:color w:val="FF0000"/>
                <w:sz w:val="20"/>
                <w:szCs w:val="20"/>
              </w:rPr>
            </w:pPr>
            <w:r w:rsidRPr="00152172">
              <w:rPr>
                <w:color w:val="auto"/>
                <w:sz w:val="20"/>
                <w:szCs w:val="20"/>
              </w:rPr>
              <w:t>Une activité commerciale bien orientée</w:t>
            </w:r>
            <w:r w:rsidRPr="002B443A">
              <w:rPr>
                <w:color w:val="FF0000"/>
                <w:sz w:val="20"/>
                <w:szCs w:val="20"/>
              </w:rPr>
              <w:t xml:space="preserve"> </w:t>
            </w:r>
          </w:p>
          <w:p w:rsidR="0040460D" w:rsidRPr="00152172" w:rsidRDefault="0040460D" w:rsidP="0040460D">
            <w:pPr>
              <w:numPr>
                <w:ilvl w:val="1"/>
                <w:numId w:val="8"/>
              </w:numPr>
              <w:tabs>
                <w:tab w:val="left" w:pos="426"/>
                <w:tab w:val="left" w:pos="4170"/>
                <w:tab w:val="left" w:pos="4635"/>
              </w:tabs>
              <w:spacing w:before="120"/>
              <w:ind w:left="709" w:right="165" w:hanging="284"/>
              <w:rPr>
                <w:b/>
                <w:bCs/>
                <w:sz w:val="18"/>
                <w:szCs w:val="18"/>
              </w:rPr>
            </w:pPr>
            <w:r w:rsidRPr="00152172">
              <w:rPr>
                <w:b/>
                <w:bCs/>
                <w:sz w:val="18"/>
                <w:szCs w:val="18"/>
              </w:rPr>
              <w:t>Réseaux Banque Populaire et Caisse d’Epargne</w:t>
            </w:r>
          </w:p>
          <w:p w:rsidR="0040460D" w:rsidRPr="00B0587F" w:rsidRDefault="0040460D" w:rsidP="0040460D">
            <w:pPr>
              <w:numPr>
                <w:ilvl w:val="1"/>
                <w:numId w:val="19"/>
              </w:numPr>
              <w:tabs>
                <w:tab w:val="left" w:pos="426"/>
                <w:tab w:val="left" w:pos="4170"/>
                <w:tab w:val="left" w:pos="4635"/>
              </w:tabs>
              <w:spacing w:before="40"/>
              <w:ind w:left="1434" w:right="165" w:hanging="357"/>
              <w:rPr>
                <w:bCs/>
                <w:sz w:val="18"/>
                <w:szCs w:val="18"/>
              </w:rPr>
            </w:pPr>
            <w:r w:rsidRPr="00B0587F">
              <w:rPr>
                <w:bCs/>
                <w:sz w:val="18"/>
                <w:szCs w:val="18"/>
              </w:rPr>
              <w:t>Épargne de bilan</w:t>
            </w:r>
            <w:r w:rsidRPr="00B0587F">
              <w:rPr>
                <w:rStyle w:val="Appelnotedebasdep"/>
                <w:bCs/>
                <w:sz w:val="18"/>
                <w:szCs w:val="18"/>
              </w:rPr>
              <w:footnoteReference w:id="4"/>
            </w:r>
            <w:r w:rsidRPr="00B0587F">
              <w:rPr>
                <w:bCs/>
                <w:sz w:val="18"/>
                <w:szCs w:val="18"/>
              </w:rPr>
              <w:t xml:space="preserve"> en hausse de </w:t>
            </w:r>
            <w:r w:rsidRPr="00B0587F">
              <w:rPr>
                <w:b/>
                <w:bCs/>
                <w:sz w:val="18"/>
                <w:szCs w:val="18"/>
              </w:rPr>
              <w:t>5,3 %</w:t>
            </w:r>
            <w:r w:rsidR="00CC5C2C">
              <w:rPr>
                <w:bCs/>
                <w:sz w:val="18"/>
                <w:szCs w:val="18"/>
              </w:rPr>
              <w:t xml:space="preserve"> sur un an comparé au 9M-13 </w:t>
            </w:r>
          </w:p>
          <w:p w:rsidR="0040460D" w:rsidRPr="00B0587F" w:rsidRDefault="0040460D" w:rsidP="0040460D">
            <w:pPr>
              <w:numPr>
                <w:ilvl w:val="1"/>
                <w:numId w:val="19"/>
              </w:numPr>
              <w:tabs>
                <w:tab w:val="left" w:pos="426"/>
                <w:tab w:val="left" w:pos="4170"/>
                <w:tab w:val="left" w:pos="4635"/>
              </w:tabs>
              <w:spacing w:before="40"/>
              <w:ind w:left="1434" w:right="165" w:hanging="357"/>
              <w:rPr>
                <w:bCs/>
                <w:sz w:val="18"/>
                <w:szCs w:val="18"/>
              </w:rPr>
            </w:pPr>
            <w:r w:rsidRPr="00B0587F">
              <w:rPr>
                <w:bCs/>
                <w:sz w:val="18"/>
                <w:szCs w:val="18"/>
              </w:rPr>
              <w:t xml:space="preserve">Progression des encours de crédits de </w:t>
            </w:r>
            <w:r w:rsidRPr="00B0587F">
              <w:rPr>
                <w:b/>
                <w:bCs/>
                <w:sz w:val="18"/>
                <w:szCs w:val="18"/>
              </w:rPr>
              <w:t>3,7 %</w:t>
            </w:r>
            <w:r w:rsidRPr="00B0587F">
              <w:rPr>
                <w:bCs/>
                <w:sz w:val="18"/>
                <w:szCs w:val="18"/>
              </w:rPr>
              <w:t xml:space="preserve"> sur un an </w:t>
            </w:r>
            <w:r w:rsidR="00CC5C2C">
              <w:rPr>
                <w:bCs/>
                <w:sz w:val="18"/>
                <w:szCs w:val="18"/>
              </w:rPr>
              <w:t>comparé au 9M-13</w:t>
            </w:r>
          </w:p>
          <w:p w:rsidR="0040460D" w:rsidRPr="00B0587F" w:rsidRDefault="0040460D" w:rsidP="0040460D">
            <w:pPr>
              <w:numPr>
                <w:ilvl w:val="1"/>
                <w:numId w:val="8"/>
              </w:numPr>
              <w:tabs>
                <w:tab w:val="left" w:pos="426"/>
                <w:tab w:val="left" w:pos="4170"/>
                <w:tab w:val="left" w:pos="4635"/>
              </w:tabs>
              <w:spacing w:before="120"/>
              <w:ind w:left="709" w:right="165" w:hanging="284"/>
              <w:rPr>
                <w:b/>
                <w:bCs/>
                <w:sz w:val="18"/>
                <w:szCs w:val="18"/>
              </w:rPr>
            </w:pPr>
            <w:r w:rsidRPr="00B0587F">
              <w:rPr>
                <w:b/>
                <w:bCs/>
                <w:sz w:val="18"/>
                <w:szCs w:val="18"/>
              </w:rPr>
              <w:t>Métiers cœurs de Natixis</w:t>
            </w:r>
          </w:p>
          <w:p w:rsidR="0040460D" w:rsidRPr="00CA342F" w:rsidRDefault="0040460D" w:rsidP="0040460D">
            <w:pPr>
              <w:numPr>
                <w:ilvl w:val="1"/>
                <w:numId w:val="20"/>
              </w:numPr>
              <w:tabs>
                <w:tab w:val="left" w:pos="426"/>
                <w:tab w:val="left" w:pos="4170"/>
                <w:tab w:val="left" w:pos="4635"/>
              </w:tabs>
              <w:spacing w:before="40"/>
              <w:ind w:left="1434" w:right="165" w:hanging="357"/>
              <w:rPr>
                <w:bCs/>
                <w:color w:val="FF0000"/>
                <w:sz w:val="18"/>
                <w:szCs w:val="18"/>
              </w:rPr>
            </w:pPr>
            <w:r w:rsidRPr="00B0587F">
              <w:rPr>
                <w:bCs/>
                <w:sz w:val="18"/>
                <w:szCs w:val="18"/>
              </w:rPr>
              <w:t xml:space="preserve">BGC : </w:t>
            </w:r>
            <w:r w:rsidRPr="00CA342F">
              <w:rPr>
                <w:bCs/>
                <w:sz w:val="18"/>
                <w:szCs w:val="18"/>
              </w:rPr>
              <w:t xml:space="preserve">progression du PNB de </w:t>
            </w:r>
            <w:r w:rsidR="00FE2847">
              <w:rPr>
                <w:b/>
                <w:bCs/>
                <w:sz w:val="18"/>
                <w:szCs w:val="18"/>
              </w:rPr>
              <w:t>2,4 </w:t>
            </w:r>
            <w:r w:rsidRPr="00CA342F">
              <w:rPr>
                <w:b/>
                <w:bCs/>
                <w:sz w:val="18"/>
                <w:szCs w:val="18"/>
              </w:rPr>
              <w:t>%</w:t>
            </w:r>
            <w:r w:rsidRPr="00CA342F">
              <w:rPr>
                <w:bCs/>
                <w:sz w:val="18"/>
                <w:szCs w:val="18"/>
              </w:rPr>
              <w:t xml:space="preserve"> sur 9M-14 et production nouvelle s’établissant à 20 Md€ sur les Financements structurés à fin septembre 2014</w:t>
            </w:r>
          </w:p>
          <w:p w:rsidR="0040460D" w:rsidRPr="00CA342F" w:rsidRDefault="0040460D" w:rsidP="0040460D">
            <w:pPr>
              <w:numPr>
                <w:ilvl w:val="1"/>
                <w:numId w:val="20"/>
              </w:numPr>
              <w:tabs>
                <w:tab w:val="left" w:pos="426"/>
                <w:tab w:val="left" w:pos="4170"/>
                <w:tab w:val="left" w:pos="4635"/>
              </w:tabs>
              <w:spacing w:before="40"/>
              <w:ind w:left="1434" w:right="165" w:hanging="357"/>
              <w:rPr>
                <w:bCs/>
                <w:sz w:val="18"/>
                <w:szCs w:val="18"/>
              </w:rPr>
            </w:pPr>
            <w:r w:rsidRPr="00CA342F">
              <w:rPr>
                <w:bCs/>
                <w:sz w:val="18"/>
                <w:szCs w:val="18"/>
              </w:rPr>
              <w:t>Épargne : collecte nette record de 24 Md€ sur 9M-14</w:t>
            </w:r>
            <w:r w:rsidR="00CF7C02">
              <w:rPr>
                <w:bCs/>
                <w:sz w:val="18"/>
                <w:szCs w:val="18"/>
              </w:rPr>
              <w:t xml:space="preserve"> en gestion d’actifs</w:t>
            </w:r>
            <w:r w:rsidR="00D55F9C">
              <w:rPr>
                <w:bCs/>
                <w:sz w:val="18"/>
                <w:szCs w:val="18"/>
              </w:rPr>
              <w:t> ; hausse de 20 % du chiffre d’affaires de l’assurance sur 9M-14 ; progression de 15,9 % des revenus du pôle Epargne sur 9M-14</w:t>
            </w:r>
          </w:p>
          <w:p w:rsidR="0040460D" w:rsidRPr="00CA342F" w:rsidRDefault="00FE2847" w:rsidP="0040460D">
            <w:pPr>
              <w:numPr>
                <w:ilvl w:val="1"/>
                <w:numId w:val="20"/>
              </w:numPr>
              <w:tabs>
                <w:tab w:val="left" w:pos="426"/>
                <w:tab w:val="left" w:pos="4170"/>
                <w:tab w:val="left" w:pos="4635"/>
              </w:tabs>
              <w:spacing w:before="40"/>
              <w:ind w:left="1434" w:right="165" w:hanging="357"/>
              <w:rPr>
                <w:bCs/>
                <w:sz w:val="18"/>
                <w:szCs w:val="18"/>
              </w:rPr>
            </w:pPr>
            <w:r>
              <w:rPr>
                <w:bCs/>
                <w:sz w:val="18"/>
                <w:szCs w:val="18"/>
              </w:rPr>
              <w:t>SFS : hausse de 2 </w:t>
            </w:r>
            <w:r w:rsidR="0040460D" w:rsidRPr="00CA342F">
              <w:rPr>
                <w:bCs/>
                <w:sz w:val="18"/>
                <w:szCs w:val="18"/>
              </w:rPr>
              <w:t>% des revenus des Financements spécialisés sur 9M-14</w:t>
            </w:r>
          </w:p>
          <w:p w:rsidR="0040460D" w:rsidRPr="002B443A" w:rsidRDefault="0040460D" w:rsidP="0040460D">
            <w:pPr>
              <w:pStyle w:val="Titreparagraphe"/>
              <w:tabs>
                <w:tab w:val="left" w:pos="426"/>
              </w:tabs>
              <w:spacing w:before="0"/>
              <w:ind w:left="426" w:right="165"/>
              <w:rPr>
                <w:color w:val="FF0000"/>
                <w:sz w:val="18"/>
                <w:szCs w:val="20"/>
              </w:rPr>
            </w:pPr>
          </w:p>
          <w:p w:rsidR="0040460D" w:rsidRPr="007C0F34" w:rsidRDefault="0040460D" w:rsidP="0040460D">
            <w:pPr>
              <w:pStyle w:val="Titreparagraphe"/>
              <w:numPr>
                <w:ilvl w:val="0"/>
                <w:numId w:val="3"/>
              </w:numPr>
              <w:tabs>
                <w:tab w:val="left" w:pos="426"/>
              </w:tabs>
              <w:spacing w:before="0"/>
              <w:ind w:left="426" w:right="165" w:hanging="256"/>
              <w:rPr>
                <w:color w:val="auto"/>
                <w:sz w:val="20"/>
                <w:szCs w:val="20"/>
              </w:rPr>
            </w:pPr>
            <w:r w:rsidRPr="007C0F34">
              <w:rPr>
                <w:color w:val="auto"/>
                <w:sz w:val="20"/>
                <w:szCs w:val="20"/>
              </w:rPr>
              <w:t>Une base de résultats récurrente</w:t>
            </w:r>
            <w:r w:rsidR="0037754A">
              <w:rPr>
                <w:color w:val="auto"/>
                <w:sz w:val="20"/>
                <w:szCs w:val="20"/>
              </w:rPr>
              <w:t xml:space="preserve"> pour le Groupe BPCE</w:t>
            </w:r>
            <w:r w:rsidRPr="007C0F34">
              <w:rPr>
                <w:color w:val="auto"/>
                <w:sz w:val="20"/>
                <w:szCs w:val="20"/>
              </w:rPr>
              <w:t>, portée par la performance des métiers cœurs</w:t>
            </w:r>
          </w:p>
          <w:p w:rsidR="0040460D" w:rsidRPr="006B0ECD" w:rsidRDefault="00FE2847" w:rsidP="0040460D">
            <w:pPr>
              <w:numPr>
                <w:ilvl w:val="1"/>
                <w:numId w:val="20"/>
              </w:numPr>
              <w:tabs>
                <w:tab w:val="left" w:pos="426"/>
                <w:tab w:val="left" w:pos="4170"/>
                <w:tab w:val="left" w:pos="4635"/>
              </w:tabs>
              <w:spacing w:before="40"/>
              <w:ind w:left="1434" w:right="165" w:hanging="357"/>
              <w:rPr>
                <w:bCs/>
                <w:sz w:val="18"/>
                <w:szCs w:val="18"/>
              </w:rPr>
            </w:pPr>
            <w:r>
              <w:rPr>
                <w:bCs/>
                <w:sz w:val="18"/>
                <w:szCs w:val="18"/>
              </w:rPr>
              <w:t>Progression des revenus : + </w:t>
            </w:r>
            <w:r w:rsidR="0040460D" w:rsidRPr="006B0ECD">
              <w:rPr>
                <w:bCs/>
                <w:sz w:val="18"/>
                <w:szCs w:val="18"/>
              </w:rPr>
              <w:t>3</w:t>
            </w:r>
            <w:r>
              <w:rPr>
                <w:bCs/>
                <w:sz w:val="18"/>
                <w:szCs w:val="18"/>
              </w:rPr>
              <w:t>,5 </w:t>
            </w:r>
            <w:r w:rsidR="0040460D" w:rsidRPr="006B0ECD">
              <w:rPr>
                <w:bCs/>
                <w:sz w:val="18"/>
                <w:szCs w:val="18"/>
              </w:rPr>
              <w:t xml:space="preserve">% à </w:t>
            </w:r>
            <w:r w:rsidR="0040460D" w:rsidRPr="006B0ECD">
              <w:rPr>
                <w:b/>
                <w:bCs/>
                <w:sz w:val="18"/>
                <w:szCs w:val="18"/>
              </w:rPr>
              <w:t>17,7 Md€</w:t>
            </w:r>
            <w:r>
              <w:rPr>
                <w:bCs/>
                <w:sz w:val="18"/>
                <w:szCs w:val="18"/>
              </w:rPr>
              <w:t xml:space="preserve"> sur 9M-14 et + </w:t>
            </w:r>
            <w:r w:rsidR="0040460D" w:rsidRPr="006B0ECD">
              <w:rPr>
                <w:bCs/>
                <w:sz w:val="18"/>
                <w:szCs w:val="18"/>
              </w:rPr>
              <w:t>3,2</w:t>
            </w:r>
            <w:r>
              <w:rPr>
                <w:bCs/>
                <w:sz w:val="18"/>
                <w:szCs w:val="18"/>
              </w:rPr>
              <w:t> </w:t>
            </w:r>
            <w:r w:rsidR="0040460D" w:rsidRPr="006B0ECD">
              <w:rPr>
                <w:bCs/>
                <w:sz w:val="18"/>
                <w:szCs w:val="18"/>
              </w:rPr>
              <w:t xml:space="preserve">% à 5,8 Md€ au T3-14 </w:t>
            </w:r>
          </w:p>
          <w:p w:rsidR="0040460D" w:rsidRPr="002A1BDB" w:rsidRDefault="0040460D" w:rsidP="0040460D">
            <w:pPr>
              <w:numPr>
                <w:ilvl w:val="1"/>
                <w:numId w:val="20"/>
              </w:numPr>
              <w:tabs>
                <w:tab w:val="left" w:pos="426"/>
                <w:tab w:val="left" w:pos="4170"/>
                <w:tab w:val="left" w:pos="4635"/>
              </w:tabs>
              <w:spacing w:before="40"/>
              <w:ind w:left="1434" w:right="165" w:hanging="357"/>
              <w:rPr>
                <w:bCs/>
                <w:sz w:val="18"/>
                <w:szCs w:val="18"/>
              </w:rPr>
            </w:pPr>
            <w:r w:rsidRPr="002A1BDB">
              <w:rPr>
                <w:bCs/>
                <w:sz w:val="18"/>
                <w:szCs w:val="18"/>
              </w:rPr>
              <w:t>Baisse du coût du risque</w:t>
            </w:r>
            <w:bookmarkStart w:id="3" w:name="_Ref402533830"/>
            <w:r w:rsidRPr="006B0ECD">
              <w:rPr>
                <w:rStyle w:val="Appelnotedebasdep"/>
                <w:bCs/>
                <w:sz w:val="18"/>
                <w:szCs w:val="18"/>
              </w:rPr>
              <w:footnoteReference w:id="5"/>
            </w:r>
            <w:bookmarkEnd w:id="3"/>
            <w:r w:rsidRPr="002A1BDB">
              <w:rPr>
                <w:bCs/>
                <w:sz w:val="18"/>
                <w:szCs w:val="18"/>
              </w:rPr>
              <w:t xml:space="preserve"> : 27 </w:t>
            </w:r>
            <w:proofErr w:type="spellStart"/>
            <w:r w:rsidRPr="002A1BDB">
              <w:rPr>
                <w:bCs/>
                <w:sz w:val="18"/>
                <w:szCs w:val="18"/>
              </w:rPr>
              <w:t>pb</w:t>
            </w:r>
            <w:proofErr w:type="spellEnd"/>
            <w:r w:rsidRPr="002A1BDB">
              <w:rPr>
                <w:bCs/>
                <w:sz w:val="18"/>
                <w:szCs w:val="18"/>
              </w:rPr>
              <w:t xml:space="preserve"> au T3-14 vs. 31 </w:t>
            </w:r>
            <w:proofErr w:type="spellStart"/>
            <w:r w:rsidRPr="002A1BDB">
              <w:rPr>
                <w:bCs/>
                <w:sz w:val="18"/>
                <w:szCs w:val="18"/>
              </w:rPr>
              <w:t>pb</w:t>
            </w:r>
            <w:proofErr w:type="spellEnd"/>
            <w:r w:rsidRPr="002A1BDB">
              <w:rPr>
                <w:bCs/>
                <w:sz w:val="18"/>
                <w:szCs w:val="18"/>
              </w:rPr>
              <w:t xml:space="preserve"> au T3-13</w:t>
            </w:r>
          </w:p>
          <w:p w:rsidR="0040460D" w:rsidRDefault="0040460D" w:rsidP="0040460D">
            <w:pPr>
              <w:numPr>
                <w:ilvl w:val="1"/>
                <w:numId w:val="20"/>
              </w:numPr>
              <w:tabs>
                <w:tab w:val="left" w:pos="426"/>
                <w:tab w:val="left" w:pos="4170"/>
                <w:tab w:val="left" w:pos="4635"/>
              </w:tabs>
              <w:spacing w:before="40"/>
              <w:ind w:left="1434" w:right="165" w:hanging="357"/>
              <w:rPr>
                <w:bCs/>
                <w:sz w:val="18"/>
                <w:szCs w:val="18"/>
              </w:rPr>
            </w:pPr>
            <w:r w:rsidRPr="002A1BDB">
              <w:rPr>
                <w:bCs/>
                <w:sz w:val="18"/>
                <w:szCs w:val="18"/>
              </w:rPr>
              <w:t>Rés</w:t>
            </w:r>
            <w:r w:rsidR="00FE2847">
              <w:rPr>
                <w:bCs/>
                <w:sz w:val="18"/>
                <w:szCs w:val="18"/>
              </w:rPr>
              <w:t>ultat net des métiers cœurs : + 9,6 </w:t>
            </w:r>
            <w:r w:rsidRPr="002A1BDB">
              <w:rPr>
                <w:bCs/>
                <w:sz w:val="18"/>
                <w:szCs w:val="18"/>
              </w:rPr>
              <w:t xml:space="preserve">% à </w:t>
            </w:r>
            <w:r w:rsidRPr="00CF763D">
              <w:rPr>
                <w:b/>
                <w:bCs/>
                <w:sz w:val="18"/>
                <w:szCs w:val="18"/>
              </w:rPr>
              <w:t xml:space="preserve">2,7 </w:t>
            </w:r>
            <w:r w:rsidR="00636519" w:rsidRPr="00CF763D">
              <w:rPr>
                <w:b/>
                <w:bCs/>
                <w:sz w:val="18"/>
                <w:szCs w:val="18"/>
              </w:rPr>
              <w:t>Md€</w:t>
            </w:r>
            <w:r w:rsidR="00FE2847">
              <w:rPr>
                <w:bCs/>
                <w:sz w:val="18"/>
                <w:szCs w:val="18"/>
              </w:rPr>
              <w:t xml:space="preserve"> sur 9M-14 et + 15,1 </w:t>
            </w:r>
            <w:r w:rsidR="00636519">
              <w:rPr>
                <w:bCs/>
                <w:sz w:val="18"/>
                <w:szCs w:val="18"/>
              </w:rPr>
              <w:t>% à 975 </w:t>
            </w:r>
            <w:r w:rsidRPr="002A1BDB">
              <w:rPr>
                <w:bCs/>
                <w:sz w:val="18"/>
                <w:szCs w:val="18"/>
              </w:rPr>
              <w:t>M€ au T3-14</w:t>
            </w:r>
          </w:p>
          <w:p w:rsidR="00BA0697" w:rsidRDefault="00BA0697" w:rsidP="00BA0697">
            <w:pPr>
              <w:tabs>
                <w:tab w:val="left" w:pos="426"/>
                <w:tab w:val="left" w:pos="4170"/>
                <w:tab w:val="left" w:pos="4635"/>
              </w:tabs>
              <w:spacing w:before="40"/>
              <w:ind w:left="1434" w:right="165"/>
              <w:rPr>
                <w:bCs/>
                <w:sz w:val="18"/>
                <w:szCs w:val="18"/>
              </w:rPr>
            </w:pPr>
          </w:p>
          <w:p w:rsidR="0040460D" w:rsidRPr="002A1BDB" w:rsidRDefault="0040460D" w:rsidP="0040460D">
            <w:pPr>
              <w:tabs>
                <w:tab w:val="left" w:pos="426"/>
                <w:tab w:val="left" w:pos="4170"/>
                <w:tab w:val="left" w:pos="4635"/>
              </w:tabs>
              <w:spacing w:before="40"/>
              <w:ind w:left="1434" w:right="165"/>
              <w:rPr>
                <w:bCs/>
                <w:sz w:val="2"/>
                <w:szCs w:val="18"/>
              </w:rPr>
            </w:pPr>
          </w:p>
          <w:tbl>
            <w:tblPr>
              <w:tblStyle w:val="Grilledutableau"/>
              <w:tblW w:w="9172" w:type="dxa"/>
              <w:tblInd w:w="137" w:type="dxa"/>
              <w:tblLayout w:type="fixed"/>
              <w:tblLook w:val="04A0" w:firstRow="1" w:lastRow="0" w:firstColumn="1" w:lastColumn="0" w:noHBand="0" w:noVBand="1"/>
            </w:tblPr>
            <w:tblGrid>
              <w:gridCol w:w="430"/>
              <w:gridCol w:w="8742"/>
            </w:tblGrid>
            <w:tr w:rsidR="006F43DB" w:rsidRPr="002B443A" w:rsidTr="006F43DB">
              <w:trPr>
                <w:trHeight w:val="648"/>
              </w:trPr>
              <w:tc>
                <w:tcPr>
                  <w:tcW w:w="430" w:type="dxa"/>
                  <w:tcBorders>
                    <w:top w:val="nil"/>
                    <w:left w:val="nil"/>
                    <w:bottom w:val="nil"/>
                    <w:right w:val="nil"/>
                  </w:tcBorders>
                  <w:shd w:val="clear" w:color="auto" w:fill="581D74" w:themeFill="accent1"/>
                  <w:vAlign w:val="center"/>
                </w:tcPr>
                <w:p w:rsidR="006F43DB" w:rsidRPr="006F43DB" w:rsidRDefault="006F43DB" w:rsidP="006F43DB">
                  <w:pPr>
                    <w:pStyle w:val="Titreparagraphe"/>
                    <w:spacing w:before="0"/>
                    <w:ind w:left="-63" w:right="-108"/>
                    <w:jc w:val="center"/>
                    <w:rPr>
                      <w:color w:val="FFFFFF" w:themeColor="background1"/>
                      <w:spacing w:val="-16"/>
                      <w:w w:val="66"/>
                      <w:sz w:val="44"/>
                      <w:szCs w:val="10"/>
                    </w:rPr>
                  </w:pPr>
                  <w:r w:rsidRPr="006F43DB">
                    <w:rPr>
                      <w:color w:val="FFFFFF" w:themeColor="background1"/>
                      <w:spacing w:val="-16"/>
                      <w:w w:val="66"/>
                      <w:sz w:val="44"/>
                      <w:szCs w:val="10"/>
                    </w:rPr>
                    <w:t>&gt;</w:t>
                  </w:r>
                </w:p>
              </w:tc>
              <w:tc>
                <w:tcPr>
                  <w:tcW w:w="8742" w:type="dxa"/>
                  <w:tcBorders>
                    <w:top w:val="nil"/>
                    <w:left w:val="nil"/>
                    <w:bottom w:val="nil"/>
                    <w:right w:val="nil"/>
                  </w:tcBorders>
                  <w:shd w:val="clear" w:color="auto" w:fill="B79AA3" w:themeFill="text2" w:themeFillTint="99"/>
                  <w:vAlign w:val="center"/>
                </w:tcPr>
                <w:p w:rsidR="006F43DB" w:rsidRPr="006F43DB" w:rsidRDefault="006F43DB" w:rsidP="006F43DB">
                  <w:pPr>
                    <w:pStyle w:val="Titreparagraphe"/>
                    <w:spacing w:before="0"/>
                    <w:ind w:right="34"/>
                    <w:rPr>
                      <w:color w:val="581D74" w:themeColor="accent1"/>
                      <w:spacing w:val="-16"/>
                      <w:sz w:val="10"/>
                      <w:szCs w:val="10"/>
                    </w:rPr>
                  </w:pPr>
                  <w:r w:rsidRPr="006F43DB">
                    <w:rPr>
                      <w:color w:val="FFFFFF" w:themeColor="background1"/>
                      <w:sz w:val="20"/>
                      <w:szCs w:val="24"/>
                    </w:rPr>
                    <w:t>Résultat net part du groupe</w:t>
                  </w:r>
                  <w:r w:rsidRPr="006F43DB">
                    <w:rPr>
                      <w:color w:val="FFFFFF" w:themeColor="background1"/>
                      <w:sz w:val="20"/>
                      <w:szCs w:val="24"/>
                    </w:rPr>
                    <w:fldChar w:fldCharType="begin"/>
                  </w:r>
                  <w:r w:rsidRPr="006F43DB">
                    <w:rPr>
                      <w:color w:val="FFFFFF" w:themeColor="background1"/>
                      <w:sz w:val="20"/>
                      <w:szCs w:val="24"/>
                    </w:rPr>
                    <w:instrText xml:space="preserve"> NOTEREF _Ref402525668 \f \h  \* MERGEFORMAT </w:instrText>
                  </w:r>
                  <w:r w:rsidRPr="006F43DB">
                    <w:rPr>
                      <w:color w:val="FFFFFF" w:themeColor="background1"/>
                      <w:sz w:val="20"/>
                      <w:szCs w:val="24"/>
                    </w:rPr>
                  </w:r>
                  <w:r w:rsidRPr="006F43DB">
                    <w:rPr>
                      <w:color w:val="FFFFFF" w:themeColor="background1"/>
                      <w:sz w:val="20"/>
                      <w:szCs w:val="24"/>
                    </w:rPr>
                    <w:fldChar w:fldCharType="separate"/>
                  </w:r>
                  <w:r w:rsidR="005D0707" w:rsidRPr="005D0707">
                    <w:rPr>
                      <w:rStyle w:val="Appelnotedebasdep"/>
                      <w:color w:val="FFFFFF" w:themeColor="background1"/>
                    </w:rPr>
                    <w:t>2</w:t>
                  </w:r>
                  <w:r w:rsidRPr="006F43DB">
                    <w:rPr>
                      <w:color w:val="FFFFFF" w:themeColor="background1"/>
                      <w:sz w:val="20"/>
                      <w:szCs w:val="24"/>
                    </w:rPr>
                    <w:fldChar w:fldCharType="end"/>
                  </w:r>
                  <w:r w:rsidRPr="006F43DB">
                    <w:rPr>
                      <w:color w:val="FFFFFF" w:themeColor="background1"/>
                      <w:sz w:val="20"/>
                      <w:szCs w:val="24"/>
                    </w:rPr>
                    <w:t xml:space="preserve"> de 2,5 Md€ sur 9M-14, + 8,2 % vs. 9M-13 et de 810 M€ au T3-14, + 4,0 % vs. T3-13</w:t>
                  </w:r>
                </w:p>
              </w:tc>
            </w:tr>
          </w:tbl>
          <w:p w:rsidR="0040460D" w:rsidRPr="00724DC7" w:rsidRDefault="0040460D" w:rsidP="0040460D">
            <w:pPr>
              <w:pStyle w:val="Titreparagraphe"/>
              <w:tabs>
                <w:tab w:val="left" w:pos="426"/>
              </w:tabs>
              <w:spacing w:before="0"/>
              <w:ind w:left="426" w:right="165"/>
              <w:rPr>
                <w:color w:val="auto"/>
                <w:sz w:val="14"/>
                <w:szCs w:val="20"/>
              </w:rPr>
            </w:pPr>
          </w:p>
          <w:p w:rsidR="0040460D" w:rsidRPr="002A1BDB" w:rsidRDefault="0040460D" w:rsidP="0040460D">
            <w:pPr>
              <w:pStyle w:val="Titreparagraphe"/>
              <w:numPr>
                <w:ilvl w:val="0"/>
                <w:numId w:val="3"/>
              </w:numPr>
              <w:tabs>
                <w:tab w:val="left" w:pos="426"/>
                <w:tab w:val="left" w:pos="4170"/>
                <w:tab w:val="left" w:pos="4635"/>
              </w:tabs>
              <w:spacing w:before="120"/>
              <w:ind w:left="709" w:right="165" w:hanging="256"/>
              <w:rPr>
                <w:bCs/>
                <w:color w:val="FF0000"/>
                <w:sz w:val="18"/>
                <w:szCs w:val="18"/>
              </w:rPr>
            </w:pPr>
            <w:r w:rsidRPr="002A1BDB">
              <w:rPr>
                <w:color w:val="auto"/>
                <w:sz w:val="20"/>
                <w:szCs w:val="20"/>
              </w:rPr>
              <w:t>Un bilan solide avec un</w:t>
            </w:r>
            <w:r>
              <w:rPr>
                <w:color w:val="auto"/>
                <w:sz w:val="20"/>
                <w:szCs w:val="20"/>
              </w:rPr>
              <w:t>e solvabilité enco</w:t>
            </w:r>
            <w:r w:rsidRPr="002A1BDB">
              <w:rPr>
                <w:color w:val="auto"/>
                <w:sz w:val="20"/>
                <w:szCs w:val="20"/>
              </w:rPr>
              <w:t>re renforcé</w:t>
            </w:r>
            <w:r>
              <w:rPr>
                <w:color w:val="auto"/>
                <w:sz w:val="20"/>
                <w:szCs w:val="20"/>
              </w:rPr>
              <w:t>e</w:t>
            </w:r>
          </w:p>
          <w:p w:rsidR="0040460D" w:rsidRPr="00CF763D" w:rsidRDefault="0040460D" w:rsidP="0040460D">
            <w:pPr>
              <w:numPr>
                <w:ilvl w:val="1"/>
                <w:numId w:val="20"/>
              </w:numPr>
              <w:tabs>
                <w:tab w:val="left" w:pos="426"/>
                <w:tab w:val="left" w:pos="4170"/>
                <w:tab w:val="left" w:pos="4635"/>
              </w:tabs>
              <w:spacing w:before="40"/>
              <w:ind w:left="1434" w:right="165" w:hanging="357"/>
              <w:rPr>
                <w:b/>
                <w:bCs/>
                <w:color w:val="FF0000"/>
                <w:sz w:val="18"/>
                <w:szCs w:val="18"/>
              </w:rPr>
            </w:pPr>
            <w:r w:rsidRPr="009400AD">
              <w:rPr>
                <w:bCs/>
                <w:sz w:val="18"/>
                <w:szCs w:val="18"/>
              </w:rPr>
              <w:t xml:space="preserve">Solvabilité élevée : ratio de Common </w:t>
            </w:r>
            <w:proofErr w:type="spellStart"/>
            <w:r w:rsidRPr="009400AD">
              <w:rPr>
                <w:bCs/>
                <w:sz w:val="18"/>
                <w:szCs w:val="18"/>
              </w:rPr>
              <w:t>Equity</w:t>
            </w:r>
            <w:proofErr w:type="spellEnd"/>
            <w:r w:rsidRPr="009400AD">
              <w:rPr>
                <w:bCs/>
                <w:sz w:val="18"/>
                <w:szCs w:val="18"/>
              </w:rPr>
              <w:t xml:space="preserve"> </w:t>
            </w:r>
            <w:proofErr w:type="spellStart"/>
            <w:r w:rsidRPr="009400AD">
              <w:rPr>
                <w:bCs/>
                <w:sz w:val="18"/>
                <w:szCs w:val="18"/>
              </w:rPr>
              <w:t>Tier</w:t>
            </w:r>
            <w:proofErr w:type="spellEnd"/>
            <w:r w:rsidRPr="009400AD">
              <w:rPr>
                <w:bCs/>
                <w:sz w:val="18"/>
                <w:szCs w:val="18"/>
              </w:rPr>
              <w:t xml:space="preserve"> 1</w:t>
            </w:r>
            <w:r w:rsidR="00D124E2" w:rsidRPr="00046AB3">
              <w:rPr>
                <w:rStyle w:val="Appelnotedebasdep"/>
              </w:rPr>
              <w:fldChar w:fldCharType="begin"/>
            </w:r>
            <w:r w:rsidR="00D124E2" w:rsidRPr="00046AB3">
              <w:rPr>
                <w:rStyle w:val="Appelnotedebasdep"/>
              </w:rPr>
              <w:instrText xml:space="preserve"> NOTEREF _Ref402525657 \h  \* MERGEFORMAT </w:instrText>
            </w:r>
            <w:r w:rsidR="00D124E2" w:rsidRPr="00046AB3">
              <w:rPr>
                <w:rStyle w:val="Appelnotedebasdep"/>
              </w:rPr>
            </w:r>
            <w:r w:rsidR="00D124E2" w:rsidRPr="00046AB3">
              <w:rPr>
                <w:rStyle w:val="Appelnotedebasdep"/>
              </w:rPr>
              <w:fldChar w:fldCharType="separate"/>
            </w:r>
            <w:r w:rsidR="005D0707">
              <w:rPr>
                <w:rStyle w:val="Appelnotedebasdep"/>
              </w:rPr>
              <w:t>3</w:t>
            </w:r>
            <w:r w:rsidR="00D124E2" w:rsidRPr="00046AB3">
              <w:rPr>
                <w:rStyle w:val="Appelnotedebasdep"/>
              </w:rPr>
              <w:fldChar w:fldCharType="end"/>
            </w:r>
            <w:r>
              <w:rPr>
                <w:bCs/>
                <w:sz w:val="18"/>
                <w:szCs w:val="18"/>
              </w:rPr>
              <w:t xml:space="preserve"> de </w:t>
            </w:r>
            <w:r w:rsidR="00FE2847">
              <w:rPr>
                <w:b/>
                <w:bCs/>
                <w:sz w:val="18"/>
                <w:szCs w:val="18"/>
              </w:rPr>
              <w:t>11,5 </w:t>
            </w:r>
            <w:r w:rsidRPr="00CF763D">
              <w:rPr>
                <w:b/>
                <w:bCs/>
                <w:sz w:val="18"/>
                <w:szCs w:val="18"/>
              </w:rPr>
              <w:t xml:space="preserve">% (+ 110 </w:t>
            </w:r>
            <w:proofErr w:type="spellStart"/>
            <w:r w:rsidRPr="00CF763D">
              <w:rPr>
                <w:b/>
                <w:bCs/>
                <w:sz w:val="18"/>
                <w:szCs w:val="18"/>
              </w:rPr>
              <w:t>pb</w:t>
            </w:r>
            <w:proofErr w:type="spellEnd"/>
            <w:r w:rsidRPr="00CF763D">
              <w:rPr>
                <w:b/>
                <w:bCs/>
                <w:sz w:val="18"/>
                <w:szCs w:val="18"/>
              </w:rPr>
              <w:t xml:space="preserve"> sur 9</w:t>
            </w:r>
            <w:r w:rsidR="00FE2847">
              <w:rPr>
                <w:b/>
                <w:bCs/>
                <w:sz w:val="18"/>
                <w:szCs w:val="18"/>
              </w:rPr>
              <w:t> </w:t>
            </w:r>
            <w:r w:rsidRPr="00CF763D">
              <w:rPr>
                <w:b/>
                <w:bCs/>
                <w:sz w:val="18"/>
                <w:szCs w:val="18"/>
              </w:rPr>
              <w:t>mois)</w:t>
            </w:r>
            <w:r>
              <w:rPr>
                <w:bCs/>
                <w:sz w:val="18"/>
                <w:szCs w:val="18"/>
              </w:rPr>
              <w:t xml:space="preserve"> et ratio de solvabilité global</w:t>
            </w:r>
            <w:r w:rsidR="00BB2BCF">
              <w:rPr>
                <w:bCs/>
                <w:sz w:val="18"/>
                <w:szCs w:val="18"/>
              </w:rPr>
              <w:fldChar w:fldCharType="begin"/>
            </w:r>
            <w:r>
              <w:rPr>
                <w:bCs/>
                <w:sz w:val="18"/>
                <w:szCs w:val="18"/>
              </w:rPr>
              <w:instrText xml:space="preserve"> NOTEREF _Ref402525657 \f \h </w:instrText>
            </w:r>
            <w:r w:rsidR="00BB2BCF">
              <w:rPr>
                <w:bCs/>
                <w:sz w:val="18"/>
                <w:szCs w:val="18"/>
              </w:rPr>
            </w:r>
            <w:r w:rsidR="00BB2BCF">
              <w:rPr>
                <w:bCs/>
                <w:sz w:val="18"/>
                <w:szCs w:val="18"/>
              </w:rPr>
              <w:fldChar w:fldCharType="separate"/>
            </w:r>
            <w:r w:rsidR="005D0707" w:rsidRPr="005D0707">
              <w:rPr>
                <w:rStyle w:val="Appelnotedebasdep"/>
              </w:rPr>
              <w:t>3</w:t>
            </w:r>
            <w:r w:rsidR="00BB2BCF">
              <w:rPr>
                <w:bCs/>
                <w:sz w:val="18"/>
                <w:szCs w:val="18"/>
              </w:rPr>
              <w:fldChar w:fldCharType="end"/>
            </w:r>
            <w:r>
              <w:rPr>
                <w:bCs/>
                <w:sz w:val="18"/>
                <w:szCs w:val="18"/>
              </w:rPr>
              <w:t xml:space="preserve"> de </w:t>
            </w:r>
            <w:r w:rsidRPr="00CF763D">
              <w:rPr>
                <w:b/>
                <w:bCs/>
                <w:sz w:val="18"/>
                <w:szCs w:val="18"/>
              </w:rPr>
              <w:t>15,0</w:t>
            </w:r>
            <w:r w:rsidR="00FE2847">
              <w:rPr>
                <w:b/>
                <w:bCs/>
                <w:sz w:val="18"/>
                <w:szCs w:val="18"/>
              </w:rPr>
              <w:t> % (+ </w:t>
            </w:r>
            <w:r w:rsidRPr="00CF763D">
              <w:rPr>
                <w:b/>
                <w:bCs/>
                <w:sz w:val="18"/>
                <w:szCs w:val="18"/>
              </w:rPr>
              <w:t>1</w:t>
            </w:r>
            <w:r w:rsidR="00FE2847">
              <w:rPr>
                <w:b/>
                <w:bCs/>
                <w:sz w:val="18"/>
                <w:szCs w:val="18"/>
              </w:rPr>
              <w:t xml:space="preserve">90 </w:t>
            </w:r>
            <w:proofErr w:type="spellStart"/>
            <w:r w:rsidR="00FE2847">
              <w:rPr>
                <w:b/>
                <w:bCs/>
                <w:sz w:val="18"/>
                <w:szCs w:val="18"/>
              </w:rPr>
              <w:t>pb</w:t>
            </w:r>
            <w:proofErr w:type="spellEnd"/>
            <w:r w:rsidR="00FE2847">
              <w:rPr>
                <w:b/>
                <w:bCs/>
                <w:sz w:val="18"/>
                <w:szCs w:val="18"/>
              </w:rPr>
              <w:t xml:space="preserve"> sur 9 </w:t>
            </w:r>
            <w:r w:rsidRPr="00CF763D">
              <w:rPr>
                <w:b/>
                <w:bCs/>
                <w:sz w:val="18"/>
                <w:szCs w:val="18"/>
              </w:rPr>
              <w:t>mois)</w:t>
            </w:r>
          </w:p>
          <w:p w:rsidR="0040460D" w:rsidRPr="00CF763D" w:rsidRDefault="0040460D" w:rsidP="0040460D">
            <w:pPr>
              <w:numPr>
                <w:ilvl w:val="1"/>
                <w:numId w:val="20"/>
              </w:numPr>
              <w:tabs>
                <w:tab w:val="left" w:pos="426"/>
                <w:tab w:val="left" w:pos="4170"/>
                <w:tab w:val="left" w:pos="4635"/>
              </w:tabs>
              <w:spacing w:before="40"/>
              <w:ind w:left="1434" w:right="165" w:hanging="357"/>
              <w:rPr>
                <w:bCs/>
                <w:color w:val="FF0000"/>
                <w:sz w:val="18"/>
                <w:szCs w:val="18"/>
              </w:rPr>
            </w:pPr>
            <w:r>
              <w:rPr>
                <w:bCs/>
                <w:sz w:val="18"/>
                <w:szCs w:val="18"/>
              </w:rPr>
              <w:t>Ratio de levier</w:t>
            </w:r>
            <w:r>
              <w:rPr>
                <w:rStyle w:val="Appelnotedebasdep"/>
                <w:bCs/>
                <w:sz w:val="18"/>
                <w:szCs w:val="18"/>
              </w:rPr>
              <w:footnoteReference w:id="6"/>
            </w:r>
            <w:r>
              <w:rPr>
                <w:bCs/>
                <w:sz w:val="18"/>
                <w:szCs w:val="18"/>
              </w:rPr>
              <w:t xml:space="preserve"> de </w:t>
            </w:r>
            <w:r w:rsidR="00FE2847">
              <w:rPr>
                <w:b/>
                <w:bCs/>
                <w:sz w:val="18"/>
                <w:szCs w:val="18"/>
              </w:rPr>
              <w:t>4,5 </w:t>
            </w:r>
            <w:r w:rsidRPr="00CF763D">
              <w:rPr>
                <w:b/>
                <w:bCs/>
                <w:sz w:val="18"/>
                <w:szCs w:val="18"/>
              </w:rPr>
              <w:t>%</w:t>
            </w:r>
            <w:r w:rsidR="00EA60DB">
              <w:rPr>
                <w:bCs/>
                <w:sz w:val="18"/>
                <w:szCs w:val="18"/>
              </w:rPr>
              <w:t xml:space="preserve"> au 30/09/</w:t>
            </w:r>
            <w:r>
              <w:rPr>
                <w:bCs/>
                <w:sz w:val="18"/>
                <w:szCs w:val="18"/>
              </w:rPr>
              <w:t>14</w:t>
            </w:r>
          </w:p>
          <w:p w:rsidR="00CF763D" w:rsidRPr="006B0ECD" w:rsidRDefault="00CF763D" w:rsidP="0040460D">
            <w:pPr>
              <w:numPr>
                <w:ilvl w:val="1"/>
                <w:numId w:val="20"/>
              </w:numPr>
              <w:tabs>
                <w:tab w:val="left" w:pos="426"/>
                <w:tab w:val="left" w:pos="4170"/>
                <w:tab w:val="left" w:pos="4635"/>
              </w:tabs>
              <w:spacing w:before="40"/>
              <w:ind w:left="1434" w:right="165" w:hanging="357"/>
              <w:rPr>
                <w:bCs/>
                <w:color w:val="FF0000"/>
                <w:sz w:val="18"/>
                <w:szCs w:val="18"/>
              </w:rPr>
            </w:pPr>
            <w:r>
              <w:rPr>
                <w:bCs/>
                <w:sz w:val="18"/>
                <w:szCs w:val="18"/>
              </w:rPr>
              <w:t xml:space="preserve">Réserves de liquidité : </w:t>
            </w:r>
            <w:r w:rsidRPr="00CF763D">
              <w:rPr>
                <w:b/>
                <w:bCs/>
                <w:sz w:val="18"/>
                <w:szCs w:val="18"/>
              </w:rPr>
              <w:t>168 Md€</w:t>
            </w:r>
            <w:r w:rsidR="00EA60DB">
              <w:rPr>
                <w:bCs/>
                <w:sz w:val="18"/>
                <w:szCs w:val="18"/>
              </w:rPr>
              <w:t xml:space="preserve"> au 30/09/14</w:t>
            </w:r>
            <w:r>
              <w:rPr>
                <w:bCs/>
                <w:sz w:val="18"/>
                <w:szCs w:val="18"/>
              </w:rPr>
              <w:t>, couvrant 161</w:t>
            </w:r>
            <w:r w:rsidR="00FE2847">
              <w:rPr>
                <w:bCs/>
                <w:sz w:val="18"/>
                <w:szCs w:val="18"/>
              </w:rPr>
              <w:t> </w:t>
            </w:r>
            <w:r>
              <w:rPr>
                <w:bCs/>
                <w:sz w:val="18"/>
                <w:szCs w:val="18"/>
              </w:rPr>
              <w:t>% du refinancement CT</w:t>
            </w:r>
          </w:p>
          <w:p w:rsidR="00BA0697" w:rsidRPr="00407721" w:rsidRDefault="00BA0697" w:rsidP="00BA0697">
            <w:pPr>
              <w:pStyle w:val="Titreparagraphe"/>
              <w:tabs>
                <w:tab w:val="left" w:pos="426"/>
                <w:tab w:val="left" w:pos="1335"/>
                <w:tab w:val="left" w:pos="4170"/>
                <w:tab w:val="left" w:pos="4635"/>
              </w:tabs>
              <w:spacing w:before="40"/>
              <w:ind w:right="165"/>
              <w:rPr>
                <w:bCs/>
                <w:strike/>
                <w:color w:val="auto"/>
                <w:sz w:val="18"/>
                <w:szCs w:val="18"/>
              </w:rPr>
            </w:pPr>
          </w:p>
          <w:p w:rsidR="00E02AF9" w:rsidRPr="0040460D" w:rsidRDefault="00E02AF9" w:rsidP="0040460D">
            <w:pPr>
              <w:pStyle w:val="Titreparagraphe"/>
              <w:tabs>
                <w:tab w:val="left" w:pos="426"/>
                <w:tab w:val="left" w:pos="4170"/>
                <w:tab w:val="left" w:pos="4635"/>
              </w:tabs>
              <w:spacing w:before="80"/>
              <w:ind w:left="709" w:right="165"/>
              <w:rPr>
                <w:bCs/>
                <w:color w:val="FF0000"/>
                <w:sz w:val="2"/>
                <w:szCs w:val="20"/>
              </w:rPr>
            </w:pPr>
          </w:p>
          <w:p w:rsidR="0084390E" w:rsidRPr="002B443A" w:rsidRDefault="0084390E" w:rsidP="0084390E">
            <w:pPr>
              <w:pStyle w:val="Titreparagraphe"/>
              <w:tabs>
                <w:tab w:val="left" w:pos="426"/>
                <w:tab w:val="left" w:pos="4170"/>
                <w:tab w:val="left" w:pos="4635"/>
              </w:tabs>
              <w:spacing w:before="0"/>
              <w:ind w:left="425" w:right="164"/>
              <w:rPr>
                <w:bCs/>
                <w:color w:val="FF0000"/>
                <w:sz w:val="10"/>
                <w:szCs w:val="20"/>
              </w:rPr>
            </w:pPr>
          </w:p>
        </w:tc>
      </w:tr>
    </w:tbl>
    <w:p w:rsidR="0084390E" w:rsidRDefault="0084390E" w:rsidP="004C7B7C">
      <w:pPr>
        <w:tabs>
          <w:tab w:val="left" w:pos="426"/>
        </w:tabs>
        <w:autoSpaceDE w:val="0"/>
        <w:autoSpaceDN w:val="0"/>
        <w:adjustRightInd w:val="0"/>
        <w:rPr>
          <w:rFonts w:eastAsia="Times New Roman" w:cs="Times New Roman"/>
          <w:sz w:val="20"/>
          <w:szCs w:val="20"/>
        </w:rPr>
      </w:pPr>
    </w:p>
    <w:p w:rsidR="00E36BE9" w:rsidRDefault="00E36BE9">
      <w:pPr>
        <w:spacing w:after="200" w:line="276" w:lineRule="auto"/>
        <w:jc w:val="left"/>
        <w:rPr>
          <w:rFonts w:eastAsia="Times New Roman" w:cs="Times New Roman"/>
          <w:sz w:val="20"/>
          <w:szCs w:val="20"/>
        </w:rPr>
      </w:pPr>
    </w:p>
    <w:p w:rsidR="004C7B7C" w:rsidRPr="00FD1221" w:rsidRDefault="00652371" w:rsidP="00C97A47">
      <w:pPr>
        <w:spacing w:after="200" w:line="276" w:lineRule="auto"/>
        <w:jc w:val="left"/>
        <w:rPr>
          <w:rFonts w:eastAsia="Times New Roman" w:cs="Times New Roman"/>
          <w:sz w:val="20"/>
          <w:szCs w:val="20"/>
        </w:rPr>
      </w:pPr>
      <w:r w:rsidRPr="00FD1221">
        <w:rPr>
          <w:rFonts w:eastAsia="Times New Roman" w:cs="Times New Roman"/>
          <w:sz w:val="20"/>
          <w:szCs w:val="20"/>
        </w:rPr>
        <w:t xml:space="preserve">Le </w:t>
      </w:r>
      <w:r w:rsidR="002B443A">
        <w:rPr>
          <w:rFonts w:eastAsia="Times New Roman" w:cs="Times New Roman"/>
          <w:sz w:val="20"/>
          <w:szCs w:val="20"/>
        </w:rPr>
        <w:t>4 novembre</w:t>
      </w:r>
      <w:r w:rsidRPr="00FD1221">
        <w:rPr>
          <w:rFonts w:eastAsia="Times New Roman" w:cs="Times New Roman"/>
          <w:sz w:val="20"/>
          <w:szCs w:val="20"/>
        </w:rPr>
        <w:t xml:space="preserve"> 2014</w:t>
      </w:r>
      <w:r w:rsidR="004C7B7C" w:rsidRPr="00FD1221">
        <w:rPr>
          <w:rFonts w:eastAsia="Times New Roman" w:cs="Times New Roman"/>
          <w:sz w:val="20"/>
          <w:szCs w:val="20"/>
        </w:rPr>
        <w:t xml:space="preserve">, le conseil de surveillance </w:t>
      </w:r>
      <w:r w:rsidR="00BB4F51">
        <w:rPr>
          <w:rFonts w:eastAsia="Times New Roman" w:cs="Times New Roman"/>
          <w:sz w:val="20"/>
          <w:szCs w:val="20"/>
        </w:rPr>
        <w:t>du Groupe</w:t>
      </w:r>
      <w:r w:rsidR="0058191C" w:rsidRPr="0058191C">
        <w:rPr>
          <w:rFonts w:eastAsia="Times New Roman" w:cs="Times New Roman"/>
          <w:sz w:val="20"/>
          <w:szCs w:val="20"/>
        </w:rPr>
        <w:t xml:space="preserve"> BPCE</w:t>
      </w:r>
      <w:r w:rsidR="004C7B7C" w:rsidRPr="00FD1221">
        <w:rPr>
          <w:rFonts w:eastAsia="Times New Roman" w:cs="Times New Roman"/>
          <w:sz w:val="20"/>
          <w:szCs w:val="20"/>
        </w:rPr>
        <w:t xml:space="preserve">, présidé par </w:t>
      </w:r>
      <w:r w:rsidR="00162B9B">
        <w:rPr>
          <w:rFonts w:eastAsia="Times New Roman" w:cs="Times New Roman"/>
          <w:sz w:val="20"/>
          <w:szCs w:val="20"/>
        </w:rPr>
        <w:t>Stè</w:t>
      </w:r>
      <w:r w:rsidR="001715E9" w:rsidRPr="00FD1221">
        <w:rPr>
          <w:rFonts w:eastAsia="Times New Roman" w:cs="Times New Roman"/>
          <w:sz w:val="20"/>
          <w:szCs w:val="20"/>
        </w:rPr>
        <w:t xml:space="preserve">ve </w:t>
      </w:r>
      <w:proofErr w:type="spellStart"/>
      <w:r w:rsidR="001715E9" w:rsidRPr="00FD1221">
        <w:rPr>
          <w:rFonts w:eastAsia="Times New Roman" w:cs="Times New Roman"/>
          <w:sz w:val="20"/>
          <w:szCs w:val="20"/>
        </w:rPr>
        <w:t>Gentili</w:t>
      </w:r>
      <w:proofErr w:type="spellEnd"/>
      <w:r w:rsidR="004C7B7C" w:rsidRPr="00FD1221">
        <w:rPr>
          <w:rFonts w:eastAsia="Times New Roman" w:cs="Times New Roman"/>
          <w:sz w:val="20"/>
          <w:szCs w:val="20"/>
        </w:rPr>
        <w:t xml:space="preserve">, a examiné les comptes du groupe pour le </w:t>
      </w:r>
      <w:r w:rsidR="002B443A">
        <w:rPr>
          <w:rFonts w:eastAsia="Times New Roman" w:cs="Times New Roman"/>
          <w:sz w:val="20"/>
          <w:szCs w:val="20"/>
        </w:rPr>
        <w:t xml:space="preserve">troisième trimestre </w:t>
      </w:r>
      <w:r w:rsidR="002B443A" w:rsidRPr="002B443A">
        <w:rPr>
          <w:rFonts w:eastAsia="Times New Roman" w:cs="Times New Roman"/>
          <w:sz w:val="20"/>
          <w:szCs w:val="20"/>
        </w:rPr>
        <w:t xml:space="preserve">et les neuf premiers </w:t>
      </w:r>
      <w:r w:rsidR="002B443A">
        <w:rPr>
          <w:rFonts w:eastAsia="Times New Roman" w:cs="Times New Roman"/>
          <w:sz w:val="20"/>
          <w:szCs w:val="20"/>
        </w:rPr>
        <w:t xml:space="preserve">mois de l’année </w:t>
      </w:r>
      <w:r w:rsidRPr="00FD1221">
        <w:rPr>
          <w:rFonts w:eastAsia="Times New Roman" w:cs="Times New Roman"/>
          <w:sz w:val="20"/>
          <w:szCs w:val="20"/>
        </w:rPr>
        <w:t>201</w:t>
      </w:r>
      <w:r w:rsidR="00835513">
        <w:rPr>
          <w:rFonts w:eastAsia="Times New Roman" w:cs="Times New Roman"/>
          <w:sz w:val="20"/>
          <w:szCs w:val="20"/>
        </w:rPr>
        <w:t>4</w:t>
      </w:r>
      <w:r w:rsidR="004C7B7C" w:rsidRPr="00FD1221">
        <w:rPr>
          <w:rFonts w:eastAsia="Times New Roman" w:cs="Times New Roman"/>
          <w:sz w:val="20"/>
          <w:szCs w:val="20"/>
        </w:rPr>
        <w:t>.</w:t>
      </w:r>
    </w:p>
    <w:p w:rsidR="004C7B7C" w:rsidRDefault="004C7B7C" w:rsidP="004C7B7C">
      <w:pPr>
        <w:tabs>
          <w:tab w:val="left" w:pos="426"/>
        </w:tabs>
        <w:spacing w:line="240" w:lineRule="atLeast"/>
        <w:rPr>
          <w:rFonts w:eastAsia="Times New Roman" w:cs="Times New Roman"/>
          <w:i/>
          <w:sz w:val="20"/>
          <w:szCs w:val="20"/>
        </w:rPr>
      </w:pPr>
      <w:r w:rsidRPr="00FD1221">
        <w:rPr>
          <w:rFonts w:eastAsia="Times New Roman" w:cs="Times New Roman"/>
          <w:sz w:val="20"/>
          <w:szCs w:val="20"/>
        </w:rPr>
        <w:t xml:space="preserve">François </w:t>
      </w:r>
      <w:proofErr w:type="spellStart"/>
      <w:r w:rsidRPr="00FD1221">
        <w:rPr>
          <w:rFonts w:eastAsia="Times New Roman" w:cs="Times New Roman"/>
          <w:sz w:val="20"/>
          <w:szCs w:val="20"/>
        </w:rPr>
        <w:t>Pérol</w:t>
      </w:r>
      <w:proofErr w:type="spellEnd"/>
      <w:r w:rsidRPr="00FD1221">
        <w:rPr>
          <w:rFonts w:eastAsia="Times New Roman" w:cs="Times New Roman"/>
          <w:sz w:val="20"/>
          <w:szCs w:val="20"/>
        </w:rPr>
        <w:t>, président du directoire</w:t>
      </w:r>
      <w:r w:rsidR="00491E5C">
        <w:rPr>
          <w:rFonts w:eastAsia="Times New Roman" w:cs="Times New Roman"/>
          <w:sz w:val="20"/>
          <w:szCs w:val="20"/>
        </w:rPr>
        <w:t xml:space="preserve"> du</w:t>
      </w:r>
      <w:r w:rsidR="00796D3A" w:rsidRPr="00FD1221">
        <w:rPr>
          <w:rFonts w:eastAsia="Times New Roman" w:cs="Times New Roman"/>
          <w:sz w:val="20"/>
          <w:szCs w:val="20"/>
        </w:rPr>
        <w:t xml:space="preserve"> Groupe</w:t>
      </w:r>
      <w:r w:rsidRPr="00FD1221">
        <w:rPr>
          <w:rFonts w:eastAsia="Times New Roman" w:cs="Times New Roman"/>
          <w:sz w:val="20"/>
          <w:szCs w:val="20"/>
        </w:rPr>
        <w:t xml:space="preserve"> BPCE, a déclaré</w:t>
      </w:r>
      <w:r w:rsidRPr="00FD1221">
        <w:rPr>
          <w:rFonts w:eastAsia="Times New Roman" w:cs="Times New Roman"/>
          <w:i/>
          <w:sz w:val="20"/>
          <w:szCs w:val="20"/>
        </w:rPr>
        <w:t xml:space="preserve"> : </w:t>
      </w:r>
    </w:p>
    <w:p w:rsidR="00F4572A" w:rsidRPr="00CF763D" w:rsidRDefault="00F4572A" w:rsidP="004C7B7C">
      <w:pPr>
        <w:tabs>
          <w:tab w:val="left" w:pos="426"/>
        </w:tabs>
        <w:spacing w:line="240" w:lineRule="atLeast"/>
        <w:rPr>
          <w:rFonts w:eastAsia="Times New Roman" w:cs="Times New Roman"/>
          <w:i/>
          <w:sz w:val="20"/>
          <w:szCs w:val="20"/>
        </w:rPr>
      </w:pPr>
    </w:p>
    <w:p w:rsidR="00CC5C2C" w:rsidRPr="00CC5C2C" w:rsidRDefault="00D275FE" w:rsidP="00CC5C2C">
      <w:pPr>
        <w:rPr>
          <w:i/>
          <w:sz w:val="20"/>
          <w:szCs w:val="20"/>
        </w:rPr>
      </w:pPr>
      <w:r>
        <w:rPr>
          <w:i/>
          <w:sz w:val="20"/>
          <w:szCs w:val="20"/>
        </w:rPr>
        <w:t>« Ces résultats du G</w:t>
      </w:r>
      <w:r w:rsidR="00CC5C2C" w:rsidRPr="00CC5C2C">
        <w:rPr>
          <w:i/>
          <w:sz w:val="20"/>
          <w:szCs w:val="20"/>
        </w:rPr>
        <w:t>roupe BPCE pour le troisième trimestre et les neuf premiers mois de 2014, qui soulignent la bonne trajectoire et la solidité du groupe, récompensent la stratégie suivie depuis cinq ans. Nos réseaux Banque Populaire et Caisse d’Epargne continuent à prêter activement à leurs clients, les encours de crédits ayant progressé de 3,7 % sur un an, en dépit d’un contexte économique morose. Belle performance également de</w:t>
      </w:r>
      <w:r w:rsidR="00B84680">
        <w:rPr>
          <w:i/>
          <w:sz w:val="20"/>
          <w:szCs w:val="20"/>
        </w:rPr>
        <w:t>s métiers cœurs de Natixis avec, notamment, de très belles performances du pôle Epargne : collecte nette de 24 milliards d’euros et progression de 20 % des revenus de l’assurance</w:t>
      </w:r>
      <w:r w:rsidR="00CC5C2C" w:rsidRPr="00CC5C2C">
        <w:rPr>
          <w:i/>
          <w:sz w:val="20"/>
          <w:szCs w:val="20"/>
        </w:rPr>
        <w:t xml:space="preserve">. Avec un PNB consolidé en hausse de 3,5 % (à 17,7 milliards </w:t>
      </w:r>
      <w:r w:rsidR="00642563">
        <w:rPr>
          <w:i/>
          <w:sz w:val="20"/>
          <w:szCs w:val="20"/>
        </w:rPr>
        <w:t xml:space="preserve">d’euros </w:t>
      </w:r>
      <w:r w:rsidR="00CC5C2C" w:rsidRPr="00CC5C2C">
        <w:rPr>
          <w:i/>
          <w:sz w:val="20"/>
          <w:szCs w:val="20"/>
        </w:rPr>
        <w:t>sur neuf mois) et</w:t>
      </w:r>
      <w:r w:rsidR="00CC5C2C">
        <w:rPr>
          <w:i/>
          <w:sz w:val="20"/>
          <w:szCs w:val="20"/>
        </w:rPr>
        <w:t xml:space="preserve"> un résultat net part du groupe</w:t>
      </w:r>
      <w:r w:rsidR="00CC5C2C" w:rsidRPr="00CC5C2C">
        <w:rPr>
          <w:i/>
          <w:sz w:val="20"/>
          <w:szCs w:val="20"/>
        </w:rPr>
        <w:t xml:space="preserve"> de 8,2 % (à 2,5 milliards</w:t>
      </w:r>
      <w:r w:rsidR="00642563">
        <w:rPr>
          <w:i/>
          <w:sz w:val="20"/>
          <w:szCs w:val="20"/>
        </w:rPr>
        <w:t xml:space="preserve"> d’euros</w:t>
      </w:r>
      <w:r w:rsidR="00CC5C2C" w:rsidRPr="00CC5C2C">
        <w:rPr>
          <w:i/>
          <w:sz w:val="20"/>
          <w:szCs w:val="20"/>
        </w:rPr>
        <w:t>), ce dynamisme s’accompagne d’un renforcement significatif</w:t>
      </w:r>
      <w:r w:rsidR="00B84680">
        <w:rPr>
          <w:i/>
          <w:sz w:val="20"/>
          <w:szCs w:val="20"/>
        </w:rPr>
        <w:t xml:space="preserve"> des résultats financiers et</w:t>
      </w:r>
      <w:r w:rsidR="00CC5C2C" w:rsidRPr="00CC5C2C">
        <w:rPr>
          <w:i/>
          <w:sz w:val="20"/>
          <w:szCs w:val="20"/>
        </w:rPr>
        <w:t xml:space="preserve"> du bilan. </w:t>
      </w:r>
      <w:r w:rsidR="00B84680">
        <w:rPr>
          <w:i/>
          <w:sz w:val="20"/>
          <w:szCs w:val="20"/>
        </w:rPr>
        <w:t>A</w:t>
      </w:r>
      <w:r w:rsidR="00CC5C2C" w:rsidRPr="00CC5C2C">
        <w:rPr>
          <w:i/>
          <w:sz w:val="20"/>
          <w:szCs w:val="20"/>
        </w:rPr>
        <w:t>u 30 septembre</w:t>
      </w:r>
      <w:r w:rsidR="00BF4AA6">
        <w:rPr>
          <w:i/>
          <w:sz w:val="20"/>
          <w:szCs w:val="20"/>
        </w:rPr>
        <w:t xml:space="preserve"> 2014</w:t>
      </w:r>
      <w:r w:rsidR="00CC5C2C" w:rsidRPr="00CC5C2C">
        <w:rPr>
          <w:i/>
          <w:sz w:val="20"/>
          <w:szCs w:val="20"/>
        </w:rPr>
        <w:t xml:space="preserve">, le ratio de </w:t>
      </w:r>
      <w:proofErr w:type="spellStart"/>
      <w:r w:rsidR="00CC5C2C" w:rsidRPr="00CC5C2C">
        <w:rPr>
          <w:i/>
          <w:sz w:val="20"/>
          <w:szCs w:val="20"/>
        </w:rPr>
        <w:t>common</w:t>
      </w:r>
      <w:proofErr w:type="spellEnd"/>
      <w:r w:rsidR="00CC5C2C" w:rsidRPr="00CC5C2C">
        <w:rPr>
          <w:i/>
          <w:sz w:val="20"/>
          <w:szCs w:val="20"/>
        </w:rPr>
        <w:t xml:space="preserve"> </w:t>
      </w:r>
      <w:proofErr w:type="spellStart"/>
      <w:r w:rsidR="00CC5C2C" w:rsidRPr="00CC5C2C">
        <w:rPr>
          <w:i/>
          <w:sz w:val="20"/>
          <w:szCs w:val="20"/>
        </w:rPr>
        <w:t>equity</w:t>
      </w:r>
      <w:proofErr w:type="spellEnd"/>
      <w:r w:rsidR="00CC5C2C" w:rsidRPr="00CC5C2C">
        <w:rPr>
          <w:i/>
          <w:sz w:val="20"/>
          <w:szCs w:val="20"/>
        </w:rPr>
        <w:t xml:space="preserve"> </w:t>
      </w:r>
      <w:proofErr w:type="spellStart"/>
      <w:r w:rsidR="00CC5C2C" w:rsidRPr="00CC5C2C">
        <w:rPr>
          <w:i/>
          <w:sz w:val="20"/>
          <w:szCs w:val="20"/>
        </w:rPr>
        <w:t>tier</w:t>
      </w:r>
      <w:proofErr w:type="spellEnd"/>
      <w:r w:rsidR="00CC5C2C" w:rsidRPr="00CC5C2C">
        <w:rPr>
          <w:i/>
          <w:sz w:val="20"/>
          <w:szCs w:val="20"/>
        </w:rPr>
        <w:t xml:space="preserve"> One </w:t>
      </w:r>
      <w:r w:rsidR="00B84680">
        <w:rPr>
          <w:i/>
          <w:sz w:val="20"/>
          <w:szCs w:val="20"/>
        </w:rPr>
        <w:t>s’établit à 11,</w:t>
      </w:r>
      <w:r w:rsidR="00CC5C2C" w:rsidRPr="00CC5C2C">
        <w:rPr>
          <w:i/>
          <w:sz w:val="20"/>
          <w:szCs w:val="20"/>
        </w:rPr>
        <w:t xml:space="preserve">5 %, </w:t>
      </w:r>
      <w:r w:rsidR="00B84680">
        <w:rPr>
          <w:i/>
          <w:sz w:val="20"/>
          <w:szCs w:val="20"/>
        </w:rPr>
        <w:t xml:space="preserve">soit une progression de 110 </w:t>
      </w:r>
      <w:proofErr w:type="spellStart"/>
      <w:r w:rsidR="00B84680">
        <w:rPr>
          <w:i/>
          <w:sz w:val="20"/>
          <w:szCs w:val="20"/>
        </w:rPr>
        <w:t>pb</w:t>
      </w:r>
      <w:proofErr w:type="spellEnd"/>
      <w:r w:rsidR="00B84680">
        <w:rPr>
          <w:i/>
          <w:sz w:val="20"/>
          <w:szCs w:val="20"/>
        </w:rPr>
        <w:t xml:space="preserve"> depuis le début de l’année, </w:t>
      </w:r>
      <w:r w:rsidR="00CC5C2C" w:rsidRPr="00CC5C2C">
        <w:rPr>
          <w:i/>
          <w:sz w:val="20"/>
          <w:szCs w:val="20"/>
        </w:rPr>
        <w:t>et notre ratio de solvabilité global à 15</w:t>
      </w:r>
      <w:r w:rsidR="006E0507">
        <w:rPr>
          <w:i/>
          <w:sz w:val="20"/>
          <w:szCs w:val="20"/>
        </w:rPr>
        <w:t>,0</w:t>
      </w:r>
      <w:r w:rsidR="00CC5C2C" w:rsidRPr="00CC5C2C">
        <w:rPr>
          <w:i/>
          <w:sz w:val="20"/>
          <w:szCs w:val="20"/>
        </w:rPr>
        <w:t xml:space="preserve"> %</w:t>
      </w:r>
      <w:r w:rsidR="00B84680">
        <w:rPr>
          <w:i/>
          <w:sz w:val="20"/>
          <w:szCs w:val="20"/>
        </w:rPr>
        <w:t xml:space="preserve">, soit une progression de 190 </w:t>
      </w:r>
      <w:proofErr w:type="spellStart"/>
      <w:r w:rsidR="00B84680">
        <w:rPr>
          <w:i/>
          <w:sz w:val="20"/>
          <w:szCs w:val="20"/>
        </w:rPr>
        <w:t>pb</w:t>
      </w:r>
      <w:proofErr w:type="spellEnd"/>
      <w:r w:rsidR="00CC5C2C" w:rsidRPr="00CC5C2C">
        <w:rPr>
          <w:i/>
          <w:sz w:val="20"/>
          <w:szCs w:val="20"/>
        </w:rPr>
        <w:t xml:space="preserve"> ». </w:t>
      </w:r>
    </w:p>
    <w:p w:rsidR="009F1BC5" w:rsidRDefault="009F1BC5" w:rsidP="00ED2694">
      <w:pPr>
        <w:rPr>
          <w:rFonts w:eastAsia="Times New Roman" w:cs="Times New Roman"/>
          <w:i/>
          <w:spacing w:val="-6"/>
        </w:rPr>
      </w:pPr>
    </w:p>
    <w:p w:rsidR="00CC5C2C" w:rsidRPr="00CF763D" w:rsidRDefault="00CC5C2C" w:rsidP="00ED2694">
      <w:pPr>
        <w:rPr>
          <w:rFonts w:eastAsia="Times New Roman" w:cs="Times New Roman"/>
          <w:i/>
          <w:spacing w:val="-6"/>
        </w:rPr>
      </w:pPr>
    </w:p>
    <w:p w:rsidR="0098707D" w:rsidRDefault="0098707D" w:rsidP="00C97A47">
      <w:pPr>
        <w:tabs>
          <w:tab w:val="left" w:pos="426"/>
        </w:tabs>
        <w:jc w:val="left"/>
        <w:rPr>
          <w:rFonts w:eastAsia="Times New Roman" w:cs="Times New Roman"/>
          <w:b/>
          <w:color w:val="E36C0A"/>
          <w:spacing w:val="-6"/>
        </w:rPr>
      </w:pPr>
    </w:p>
    <w:p w:rsidR="0040460D" w:rsidRPr="00FD1221" w:rsidRDefault="0040460D" w:rsidP="0040460D">
      <w:pPr>
        <w:pBdr>
          <w:bottom w:val="single" w:sz="4" w:space="1" w:color="FF6600"/>
        </w:pBdr>
        <w:tabs>
          <w:tab w:val="left" w:pos="426"/>
        </w:tabs>
        <w:rPr>
          <w:rFonts w:eastAsia="Times New Roman" w:cs="Times New Roman"/>
          <w:b/>
          <w:smallCaps/>
          <w:color w:val="581D74"/>
          <w:szCs w:val="20"/>
        </w:rPr>
      </w:pPr>
      <w:r w:rsidRPr="00FD1221">
        <w:rPr>
          <w:rFonts w:eastAsia="Times New Roman" w:cs="Times New Roman"/>
          <w:b/>
          <w:color w:val="E36C0A"/>
          <w:spacing w:val="-6"/>
        </w:rPr>
        <w:t>1.</w:t>
      </w:r>
      <w:r w:rsidRPr="00FD1221">
        <w:rPr>
          <w:rFonts w:eastAsia="Times New Roman" w:cs="Times New Roman"/>
          <w:b/>
          <w:smallCaps/>
          <w:color w:val="581D74"/>
          <w:szCs w:val="20"/>
        </w:rPr>
        <w:tab/>
        <w:t xml:space="preserve">RÉSULTATS </w:t>
      </w:r>
      <w:r w:rsidRPr="00D61D41">
        <w:rPr>
          <w:b/>
          <w:smallCaps/>
          <w:color w:val="581D74"/>
        </w:rPr>
        <w:t xml:space="preserve">CONSOLIDÉS DU </w:t>
      </w:r>
      <w:r>
        <w:rPr>
          <w:b/>
          <w:smallCaps/>
          <w:color w:val="581D74"/>
        </w:rPr>
        <w:t>TROISI</w:t>
      </w:r>
      <w:r w:rsidR="00FE2847">
        <w:rPr>
          <w:b/>
          <w:smallCaps/>
          <w:color w:val="581D74"/>
        </w:rPr>
        <w:t>È</w:t>
      </w:r>
      <w:r>
        <w:rPr>
          <w:b/>
          <w:smallCaps/>
          <w:color w:val="581D74"/>
        </w:rPr>
        <w:t xml:space="preserve">ME </w:t>
      </w:r>
      <w:r w:rsidRPr="00D61D41">
        <w:rPr>
          <w:b/>
          <w:smallCaps/>
          <w:color w:val="581D74"/>
        </w:rPr>
        <w:t xml:space="preserve">TRIMESTRE </w:t>
      </w:r>
      <w:r w:rsidR="00D8707E">
        <w:rPr>
          <w:b/>
          <w:smallCaps/>
          <w:color w:val="581D74"/>
        </w:rPr>
        <w:br/>
      </w:r>
      <w:r w:rsidR="00D8707E">
        <w:rPr>
          <w:b/>
          <w:smallCaps/>
          <w:color w:val="581D74"/>
        </w:rPr>
        <w:tab/>
      </w:r>
      <w:r w:rsidRPr="00D61D41">
        <w:rPr>
          <w:b/>
          <w:smallCaps/>
          <w:color w:val="581D74"/>
        </w:rPr>
        <w:t xml:space="preserve">ET DES </w:t>
      </w:r>
      <w:r>
        <w:rPr>
          <w:b/>
          <w:smallCaps/>
          <w:color w:val="581D74"/>
        </w:rPr>
        <w:t>NEUF PREMIERS MOIS 2014</w:t>
      </w:r>
      <w:r w:rsidRPr="00D61D41">
        <w:rPr>
          <w:b/>
          <w:smallCaps/>
          <w:color w:val="581D74"/>
        </w:rPr>
        <w:t xml:space="preserve"> DU GROUPE BPCE</w:t>
      </w:r>
      <w:r>
        <w:rPr>
          <w:rStyle w:val="Appelnotedebasdep"/>
          <w:rFonts w:eastAsia="Times New Roman" w:cs="Times New Roman"/>
          <w:b/>
          <w:smallCaps/>
          <w:color w:val="581D74"/>
          <w:szCs w:val="20"/>
        </w:rPr>
        <w:t xml:space="preserve"> </w:t>
      </w:r>
      <w:bookmarkStart w:id="4" w:name="_Ref402536538"/>
      <w:r w:rsidRPr="00046AB3">
        <w:rPr>
          <w:rStyle w:val="Appelnotedebasdep"/>
          <w:rFonts w:eastAsia="Times New Roman" w:cs="Times New Roman"/>
          <w:b/>
          <w:smallCaps/>
          <w:color w:val="581D74" w:themeColor="accent1"/>
          <w:szCs w:val="20"/>
        </w:rPr>
        <w:footnoteReference w:id="7"/>
      </w:r>
      <w:bookmarkEnd w:id="4"/>
      <w:r w:rsidRPr="00813FFA">
        <w:rPr>
          <w:rFonts w:eastAsia="Times New Roman" w:cs="Times New Roman"/>
          <w:b/>
          <w:smallCaps/>
          <w:color w:val="FF0000"/>
          <w:szCs w:val="20"/>
        </w:rPr>
        <w:t xml:space="preserve"> </w:t>
      </w:r>
    </w:p>
    <w:p w:rsidR="0040460D" w:rsidRPr="00FD1221" w:rsidRDefault="0040460D" w:rsidP="0040460D">
      <w:pPr>
        <w:tabs>
          <w:tab w:val="left" w:pos="426"/>
        </w:tabs>
        <w:jc w:val="left"/>
        <w:rPr>
          <w:rFonts w:eastAsia="Times New Roman" w:cs="Times New Roman"/>
          <w:b/>
          <w:smallCaps/>
          <w:color w:val="581D74"/>
          <w:sz w:val="20"/>
          <w:szCs w:val="20"/>
        </w:rPr>
      </w:pPr>
    </w:p>
    <w:p w:rsidR="0040460D" w:rsidRDefault="0040460D" w:rsidP="0040460D">
      <w:pPr>
        <w:tabs>
          <w:tab w:val="left" w:pos="426"/>
        </w:tabs>
        <w:spacing w:line="240" w:lineRule="atLeast"/>
        <w:rPr>
          <w:rFonts w:eastAsia="Times New Roman" w:cs="Times New Roman"/>
          <w:color w:val="800080"/>
          <w:sz w:val="20"/>
          <w:szCs w:val="20"/>
        </w:rPr>
      </w:pPr>
    </w:p>
    <w:p w:rsidR="0040460D" w:rsidRPr="0056316F" w:rsidRDefault="0040460D" w:rsidP="0040460D">
      <w:pPr>
        <w:tabs>
          <w:tab w:val="left" w:pos="426"/>
        </w:tabs>
        <w:spacing w:line="240" w:lineRule="atLeast"/>
        <w:rPr>
          <w:rFonts w:eastAsia="Times New Roman" w:cs="Times New Roman"/>
          <w:sz w:val="20"/>
          <w:szCs w:val="20"/>
        </w:rPr>
      </w:pPr>
      <w:r>
        <w:rPr>
          <w:rFonts w:eastAsia="Times New Roman" w:cs="Times New Roman"/>
          <w:sz w:val="20"/>
          <w:szCs w:val="20"/>
        </w:rPr>
        <w:t xml:space="preserve">Le Groupe BPCE réalise un solide troisième trimestre porté par le dynamisme des métiers cœurs que sont la Banque </w:t>
      </w:r>
      <w:r w:rsidR="00D8707E">
        <w:rPr>
          <w:rFonts w:eastAsia="Times New Roman" w:cs="Times New Roman"/>
          <w:sz w:val="20"/>
          <w:szCs w:val="20"/>
        </w:rPr>
        <w:t>c</w:t>
      </w:r>
      <w:r>
        <w:rPr>
          <w:rFonts w:eastAsia="Times New Roman" w:cs="Times New Roman"/>
          <w:sz w:val="20"/>
          <w:szCs w:val="20"/>
        </w:rPr>
        <w:t>ommerciale et Assurance, la Banque de Grande Clientèle, l’</w:t>
      </w:r>
      <w:r w:rsidR="00D8707E">
        <w:rPr>
          <w:rFonts w:eastAsia="Times New Roman" w:cs="Times New Roman"/>
          <w:sz w:val="20"/>
          <w:szCs w:val="20"/>
        </w:rPr>
        <w:t>É</w:t>
      </w:r>
      <w:r>
        <w:rPr>
          <w:rFonts w:eastAsia="Times New Roman" w:cs="Times New Roman"/>
          <w:sz w:val="20"/>
          <w:szCs w:val="20"/>
        </w:rPr>
        <w:t xml:space="preserve">pargne et les Services Financiers Spécialisés. L’ensemble des revenus progresse ainsi de </w:t>
      </w:r>
      <w:r w:rsidR="00C27E13">
        <w:rPr>
          <w:rFonts w:eastAsia="Times New Roman" w:cs="Times New Roman"/>
          <w:sz w:val="20"/>
          <w:szCs w:val="20"/>
        </w:rPr>
        <w:t xml:space="preserve">3,2 % au troisième trimestre et de </w:t>
      </w:r>
      <w:r>
        <w:rPr>
          <w:rFonts w:eastAsia="Times New Roman" w:cs="Times New Roman"/>
          <w:sz w:val="20"/>
          <w:szCs w:val="20"/>
        </w:rPr>
        <w:t>3,5</w:t>
      </w:r>
      <w:r w:rsidRPr="008071FA">
        <w:rPr>
          <w:rFonts w:eastAsia="Times New Roman" w:cs="Times New Roman"/>
          <w:sz w:val="20"/>
          <w:szCs w:val="20"/>
        </w:rPr>
        <w:t> </w:t>
      </w:r>
      <w:r>
        <w:rPr>
          <w:rFonts w:eastAsia="Times New Roman" w:cs="Times New Roman"/>
          <w:sz w:val="20"/>
          <w:szCs w:val="20"/>
        </w:rPr>
        <w:t>% sur les neuf premiers mois de l’année 2014. En parallèle, le coût du risque</w:t>
      </w:r>
      <w:r w:rsidR="00BB2BCF">
        <w:rPr>
          <w:rFonts w:eastAsia="Times New Roman" w:cs="Times New Roman"/>
          <w:sz w:val="20"/>
          <w:szCs w:val="20"/>
        </w:rPr>
        <w:fldChar w:fldCharType="begin"/>
      </w:r>
      <w:r w:rsidR="00CF763D">
        <w:rPr>
          <w:rFonts w:eastAsia="Times New Roman" w:cs="Times New Roman"/>
          <w:sz w:val="20"/>
          <w:szCs w:val="20"/>
        </w:rPr>
        <w:instrText xml:space="preserve"> NOTEREF _Ref402533830 \f \h </w:instrText>
      </w:r>
      <w:r w:rsidR="00BB2BCF">
        <w:rPr>
          <w:rFonts w:eastAsia="Times New Roman" w:cs="Times New Roman"/>
          <w:sz w:val="20"/>
          <w:szCs w:val="20"/>
        </w:rPr>
      </w:r>
      <w:r w:rsidR="00BB2BCF">
        <w:rPr>
          <w:rFonts w:eastAsia="Times New Roman" w:cs="Times New Roman"/>
          <w:sz w:val="20"/>
          <w:szCs w:val="20"/>
        </w:rPr>
        <w:fldChar w:fldCharType="separate"/>
      </w:r>
      <w:r w:rsidR="005D0707" w:rsidRPr="005D0707">
        <w:rPr>
          <w:rStyle w:val="Appelnotedebasdep"/>
        </w:rPr>
        <w:t>5</w:t>
      </w:r>
      <w:r w:rsidR="00BB2BCF">
        <w:rPr>
          <w:rFonts w:eastAsia="Times New Roman" w:cs="Times New Roman"/>
          <w:sz w:val="20"/>
          <w:szCs w:val="20"/>
        </w:rPr>
        <w:fldChar w:fldCharType="end"/>
      </w:r>
      <w:r>
        <w:rPr>
          <w:rFonts w:eastAsia="Times New Roman" w:cs="Times New Roman"/>
          <w:sz w:val="20"/>
          <w:szCs w:val="20"/>
        </w:rPr>
        <w:t xml:space="preserve"> des métiers cœurs continue de diminuer puisqu’il représente, rapporté aux encours de crédits, 27 points de base au tro</w:t>
      </w:r>
      <w:r w:rsidR="00D8707E">
        <w:rPr>
          <w:rFonts w:eastAsia="Times New Roman" w:cs="Times New Roman"/>
          <w:sz w:val="20"/>
          <w:szCs w:val="20"/>
        </w:rPr>
        <w:t>isième trimestre 2014 contre 31 </w:t>
      </w:r>
      <w:r>
        <w:rPr>
          <w:rFonts w:eastAsia="Times New Roman" w:cs="Times New Roman"/>
          <w:sz w:val="20"/>
          <w:szCs w:val="20"/>
        </w:rPr>
        <w:t>points de base au troisième trimestre 2013.</w:t>
      </w:r>
    </w:p>
    <w:p w:rsidR="0040460D" w:rsidRDefault="0040460D" w:rsidP="0040460D">
      <w:pPr>
        <w:tabs>
          <w:tab w:val="left" w:pos="426"/>
        </w:tabs>
        <w:spacing w:line="240" w:lineRule="atLeast"/>
        <w:rPr>
          <w:rFonts w:eastAsia="Times New Roman" w:cs="Times New Roman"/>
          <w:sz w:val="20"/>
          <w:szCs w:val="20"/>
        </w:rPr>
      </w:pPr>
    </w:p>
    <w:p w:rsidR="0040460D" w:rsidRPr="0056316F" w:rsidRDefault="0040460D" w:rsidP="0040460D">
      <w:pPr>
        <w:tabs>
          <w:tab w:val="left" w:pos="426"/>
        </w:tabs>
        <w:spacing w:line="240" w:lineRule="atLeast"/>
        <w:rPr>
          <w:rFonts w:eastAsia="Times New Roman" w:cs="Times New Roman"/>
          <w:sz w:val="20"/>
          <w:szCs w:val="20"/>
        </w:rPr>
      </w:pPr>
      <w:r w:rsidRPr="007E748E">
        <w:rPr>
          <w:rFonts w:eastAsia="Times New Roman" w:cs="Times New Roman"/>
          <w:sz w:val="20"/>
          <w:szCs w:val="20"/>
        </w:rPr>
        <w:t xml:space="preserve">Le </w:t>
      </w:r>
      <w:r>
        <w:rPr>
          <w:rFonts w:eastAsia="Times New Roman" w:cs="Times New Roman"/>
          <w:sz w:val="20"/>
          <w:szCs w:val="20"/>
        </w:rPr>
        <w:t>g</w:t>
      </w:r>
      <w:r w:rsidRPr="007E748E">
        <w:rPr>
          <w:rFonts w:eastAsia="Times New Roman" w:cs="Times New Roman"/>
          <w:sz w:val="20"/>
          <w:szCs w:val="20"/>
        </w:rPr>
        <w:t xml:space="preserve">roupe </w:t>
      </w:r>
      <w:proofErr w:type="gramStart"/>
      <w:r w:rsidRPr="007E748E">
        <w:rPr>
          <w:rFonts w:eastAsia="Times New Roman" w:cs="Times New Roman"/>
          <w:sz w:val="20"/>
          <w:szCs w:val="20"/>
        </w:rPr>
        <w:t>présente</w:t>
      </w:r>
      <w:proofErr w:type="gramEnd"/>
      <w:r w:rsidRPr="007E748E">
        <w:rPr>
          <w:rFonts w:eastAsia="Times New Roman" w:cs="Times New Roman"/>
          <w:sz w:val="20"/>
          <w:szCs w:val="20"/>
        </w:rPr>
        <w:t xml:space="preserve"> une base </w:t>
      </w:r>
      <w:r>
        <w:rPr>
          <w:rFonts w:eastAsia="Times New Roman" w:cs="Times New Roman"/>
          <w:sz w:val="20"/>
          <w:szCs w:val="20"/>
        </w:rPr>
        <w:t>robuste</w:t>
      </w:r>
      <w:r w:rsidRPr="007E748E">
        <w:rPr>
          <w:rFonts w:eastAsia="Times New Roman" w:cs="Times New Roman"/>
          <w:sz w:val="20"/>
          <w:szCs w:val="20"/>
        </w:rPr>
        <w:t xml:space="preserve"> de résultats, avec un résultat net part du groupe (hors réévaluation de la dette propre) de </w:t>
      </w:r>
      <w:r w:rsidR="00FE2847">
        <w:rPr>
          <w:rFonts w:eastAsia="Times New Roman" w:cs="Times New Roman"/>
          <w:b/>
          <w:sz w:val="20"/>
          <w:szCs w:val="20"/>
        </w:rPr>
        <w:t>810 </w:t>
      </w:r>
      <w:r w:rsidRPr="007E748E">
        <w:rPr>
          <w:rFonts w:eastAsia="Times New Roman" w:cs="Times New Roman"/>
          <w:b/>
          <w:sz w:val="20"/>
          <w:szCs w:val="20"/>
        </w:rPr>
        <w:t>millions d’euros</w:t>
      </w:r>
      <w:r w:rsidRPr="007E748E">
        <w:rPr>
          <w:rFonts w:eastAsia="Times New Roman" w:cs="Times New Roman"/>
          <w:sz w:val="20"/>
          <w:szCs w:val="20"/>
        </w:rPr>
        <w:t xml:space="preserve"> au troisième trimestre 2014 </w:t>
      </w:r>
      <w:r>
        <w:rPr>
          <w:rFonts w:eastAsia="Times New Roman" w:cs="Times New Roman"/>
          <w:sz w:val="20"/>
          <w:szCs w:val="20"/>
        </w:rPr>
        <w:t>(+</w:t>
      </w:r>
      <w:r w:rsidRPr="008071FA">
        <w:rPr>
          <w:rFonts w:eastAsia="Times New Roman" w:cs="Times New Roman"/>
          <w:sz w:val="20"/>
          <w:szCs w:val="20"/>
        </w:rPr>
        <w:t> </w:t>
      </w:r>
      <w:r>
        <w:rPr>
          <w:rFonts w:eastAsia="Times New Roman" w:cs="Times New Roman"/>
          <w:sz w:val="20"/>
          <w:szCs w:val="20"/>
        </w:rPr>
        <w:t>4,0</w:t>
      </w:r>
      <w:r w:rsidRPr="008071FA">
        <w:rPr>
          <w:rFonts w:eastAsia="Times New Roman" w:cs="Times New Roman"/>
          <w:sz w:val="20"/>
          <w:szCs w:val="20"/>
        </w:rPr>
        <w:t> </w:t>
      </w:r>
      <w:r>
        <w:rPr>
          <w:rFonts w:eastAsia="Times New Roman" w:cs="Times New Roman"/>
          <w:sz w:val="20"/>
          <w:szCs w:val="20"/>
        </w:rPr>
        <w:t xml:space="preserve">% sur un an), </w:t>
      </w:r>
      <w:r w:rsidRPr="007E748E">
        <w:rPr>
          <w:rFonts w:eastAsia="Times New Roman" w:cs="Times New Roman"/>
          <w:sz w:val="20"/>
          <w:szCs w:val="20"/>
        </w:rPr>
        <w:t xml:space="preserve">et de </w:t>
      </w:r>
      <w:r w:rsidRPr="007E748E">
        <w:rPr>
          <w:rFonts w:eastAsia="Times New Roman" w:cs="Times New Roman"/>
          <w:b/>
          <w:sz w:val="20"/>
          <w:szCs w:val="20"/>
        </w:rPr>
        <w:t>2,5</w:t>
      </w:r>
      <w:r w:rsidR="00FE2847">
        <w:rPr>
          <w:rFonts w:eastAsia="Times New Roman" w:cs="Times New Roman"/>
          <w:b/>
          <w:sz w:val="20"/>
          <w:szCs w:val="20"/>
        </w:rPr>
        <w:t> </w:t>
      </w:r>
      <w:r w:rsidRPr="007E748E">
        <w:rPr>
          <w:rFonts w:eastAsia="Times New Roman" w:cs="Times New Roman"/>
          <w:b/>
          <w:sz w:val="20"/>
          <w:szCs w:val="20"/>
        </w:rPr>
        <w:t>milliards d’euros</w:t>
      </w:r>
      <w:r w:rsidRPr="007E748E">
        <w:rPr>
          <w:rFonts w:eastAsia="Times New Roman" w:cs="Times New Roman"/>
          <w:sz w:val="20"/>
          <w:szCs w:val="20"/>
        </w:rPr>
        <w:t xml:space="preserve"> sur les neufs premiers mois de </w:t>
      </w:r>
      <w:r>
        <w:rPr>
          <w:rFonts w:eastAsia="Times New Roman" w:cs="Times New Roman"/>
          <w:sz w:val="20"/>
          <w:szCs w:val="20"/>
        </w:rPr>
        <w:t xml:space="preserve">l’année </w:t>
      </w:r>
      <w:r w:rsidRPr="0056316F">
        <w:rPr>
          <w:rFonts w:eastAsia="Times New Roman" w:cs="Times New Roman"/>
          <w:sz w:val="20"/>
          <w:szCs w:val="20"/>
        </w:rPr>
        <w:t>2014</w:t>
      </w:r>
      <w:r>
        <w:rPr>
          <w:rFonts w:eastAsia="Times New Roman" w:cs="Times New Roman"/>
          <w:sz w:val="20"/>
          <w:szCs w:val="20"/>
        </w:rPr>
        <w:t xml:space="preserve"> (+</w:t>
      </w:r>
      <w:r w:rsidRPr="008071FA">
        <w:rPr>
          <w:rFonts w:eastAsia="Times New Roman" w:cs="Times New Roman"/>
          <w:sz w:val="20"/>
          <w:szCs w:val="20"/>
        </w:rPr>
        <w:t> </w:t>
      </w:r>
      <w:r>
        <w:rPr>
          <w:rFonts w:eastAsia="Times New Roman" w:cs="Times New Roman"/>
          <w:sz w:val="20"/>
          <w:szCs w:val="20"/>
        </w:rPr>
        <w:t>8,2</w:t>
      </w:r>
      <w:r w:rsidRPr="008071FA">
        <w:rPr>
          <w:rFonts w:eastAsia="Times New Roman" w:cs="Times New Roman"/>
          <w:sz w:val="20"/>
          <w:szCs w:val="20"/>
        </w:rPr>
        <w:t> </w:t>
      </w:r>
      <w:r>
        <w:rPr>
          <w:rFonts w:eastAsia="Times New Roman" w:cs="Times New Roman"/>
          <w:sz w:val="20"/>
          <w:szCs w:val="20"/>
        </w:rPr>
        <w:t>% sur un an)</w:t>
      </w:r>
      <w:r w:rsidRPr="0056316F">
        <w:rPr>
          <w:rFonts w:eastAsia="Times New Roman" w:cs="Times New Roman"/>
          <w:sz w:val="20"/>
          <w:szCs w:val="20"/>
        </w:rPr>
        <w:t xml:space="preserve">. </w:t>
      </w:r>
    </w:p>
    <w:p w:rsidR="0040460D" w:rsidRPr="0056316F" w:rsidRDefault="0040460D" w:rsidP="0040460D">
      <w:pPr>
        <w:tabs>
          <w:tab w:val="left" w:pos="426"/>
        </w:tabs>
        <w:spacing w:line="240" w:lineRule="atLeast"/>
        <w:rPr>
          <w:rFonts w:eastAsia="Times New Roman" w:cs="Times New Roman"/>
          <w:sz w:val="20"/>
          <w:szCs w:val="20"/>
        </w:rPr>
      </w:pPr>
    </w:p>
    <w:p w:rsidR="0040460D" w:rsidRPr="00813FFA" w:rsidRDefault="0040460D" w:rsidP="0040460D">
      <w:pPr>
        <w:tabs>
          <w:tab w:val="left" w:pos="426"/>
        </w:tabs>
        <w:spacing w:line="240" w:lineRule="atLeast"/>
        <w:rPr>
          <w:rFonts w:eastAsia="Times New Roman" w:cs="Times New Roman"/>
          <w:color w:val="FF0000"/>
          <w:sz w:val="20"/>
          <w:szCs w:val="20"/>
        </w:rPr>
      </w:pPr>
      <w:r w:rsidRPr="008071FA">
        <w:rPr>
          <w:rFonts w:eastAsia="Times New Roman" w:cs="Times New Roman"/>
          <w:sz w:val="20"/>
          <w:szCs w:val="20"/>
        </w:rPr>
        <w:t xml:space="preserve">La solvabilité </w:t>
      </w:r>
      <w:r w:rsidR="00CA6A66">
        <w:rPr>
          <w:rFonts w:eastAsia="Times New Roman" w:cs="Times New Roman"/>
          <w:sz w:val="20"/>
          <w:szCs w:val="20"/>
        </w:rPr>
        <w:t>est</w:t>
      </w:r>
      <w:r w:rsidRPr="008071FA">
        <w:rPr>
          <w:rFonts w:eastAsia="Times New Roman" w:cs="Times New Roman"/>
          <w:sz w:val="20"/>
          <w:szCs w:val="20"/>
        </w:rPr>
        <w:t xml:space="preserve"> significativement renforcée, avec un ratio de Common </w:t>
      </w:r>
      <w:proofErr w:type="spellStart"/>
      <w:r w:rsidRPr="008071FA">
        <w:rPr>
          <w:rFonts w:eastAsia="Times New Roman" w:cs="Times New Roman"/>
          <w:sz w:val="20"/>
          <w:szCs w:val="20"/>
        </w:rPr>
        <w:t>Equity</w:t>
      </w:r>
      <w:proofErr w:type="spellEnd"/>
      <w:r w:rsidRPr="008071FA">
        <w:rPr>
          <w:rFonts w:eastAsia="Times New Roman" w:cs="Times New Roman"/>
          <w:sz w:val="20"/>
          <w:szCs w:val="20"/>
        </w:rPr>
        <w:t xml:space="preserve"> </w:t>
      </w:r>
      <w:proofErr w:type="spellStart"/>
      <w:r w:rsidRPr="008071FA">
        <w:rPr>
          <w:rFonts w:eastAsia="Times New Roman" w:cs="Times New Roman"/>
          <w:sz w:val="20"/>
          <w:szCs w:val="20"/>
        </w:rPr>
        <w:t>Tier</w:t>
      </w:r>
      <w:proofErr w:type="spellEnd"/>
      <w:r w:rsidRPr="008071FA">
        <w:rPr>
          <w:rFonts w:eastAsia="Times New Roman" w:cs="Times New Roman"/>
          <w:sz w:val="20"/>
          <w:szCs w:val="20"/>
        </w:rPr>
        <w:t xml:space="preserve"> 1</w:t>
      </w:r>
      <w:r w:rsidR="00BB2BCF" w:rsidRPr="008071FA">
        <w:rPr>
          <w:rFonts w:eastAsia="Times New Roman" w:cs="Times New Roman"/>
          <w:sz w:val="20"/>
          <w:szCs w:val="20"/>
          <w:vertAlign w:val="superscript"/>
        </w:rPr>
        <w:fldChar w:fldCharType="begin"/>
      </w:r>
      <w:r w:rsidRPr="008071FA">
        <w:rPr>
          <w:rFonts w:eastAsia="Times New Roman" w:cs="Times New Roman"/>
          <w:sz w:val="20"/>
          <w:szCs w:val="20"/>
        </w:rPr>
        <w:instrText xml:space="preserve"> NOTEREF _Ref402525657 \f \h </w:instrText>
      </w:r>
      <w:r w:rsidR="00BB2BCF" w:rsidRPr="008071FA">
        <w:rPr>
          <w:rFonts w:eastAsia="Times New Roman" w:cs="Times New Roman"/>
          <w:sz w:val="20"/>
          <w:szCs w:val="20"/>
          <w:vertAlign w:val="superscript"/>
        </w:rPr>
      </w:r>
      <w:r w:rsidR="00BB2BCF" w:rsidRPr="008071FA">
        <w:rPr>
          <w:rFonts w:eastAsia="Times New Roman" w:cs="Times New Roman"/>
          <w:sz w:val="20"/>
          <w:szCs w:val="20"/>
          <w:vertAlign w:val="superscript"/>
        </w:rPr>
        <w:fldChar w:fldCharType="separate"/>
      </w:r>
      <w:r w:rsidR="005D0707" w:rsidRPr="005D0707">
        <w:rPr>
          <w:rStyle w:val="Appelnotedebasdep"/>
        </w:rPr>
        <w:t>3</w:t>
      </w:r>
      <w:r w:rsidR="00BB2BCF" w:rsidRPr="008071FA">
        <w:rPr>
          <w:rFonts w:eastAsia="Times New Roman" w:cs="Times New Roman"/>
          <w:sz w:val="20"/>
          <w:szCs w:val="20"/>
          <w:vertAlign w:val="superscript"/>
        </w:rPr>
        <w:fldChar w:fldCharType="end"/>
      </w:r>
      <w:r w:rsidRPr="008071FA">
        <w:rPr>
          <w:rFonts w:eastAsia="Times New Roman" w:cs="Times New Roman"/>
          <w:sz w:val="20"/>
          <w:szCs w:val="20"/>
        </w:rPr>
        <w:t xml:space="preserve"> de 11,5 %, en augmentation de 110 points de base sur neuf mois, et un ratio de solvabilité global</w:t>
      </w:r>
      <w:r w:rsidR="00BB2BCF" w:rsidRPr="008071FA">
        <w:rPr>
          <w:rFonts w:eastAsia="Times New Roman" w:cs="Times New Roman"/>
          <w:sz w:val="20"/>
          <w:szCs w:val="20"/>
          <w:vertAlign w:val="superscript"/>
        </w:rPr>
        <w:fldChar w:fldCharType="begin"/>
      </w:r>
      <w:r w:rsidRPr="008071FA">
        <w:rPr>
          <w:rFonts w:eastAsia="Times New Roman" w:cs="Times New Roman"/>
          <w:sz w:val="20"/>
          <w:szCs w:val="20"/>
        </w:rPr>
        <w:instrText xml:space="preserve"> NOTEREF _Ref402525657 \f \h </w:instrText>
      </w:r>
      <w:r w:rsidR="00BB2BCF" w:rsidRPr="008071FA">
        <w:rPr>
          <w:rFonts w:eastAsia="Times New Roman" w:cs="Times New Roman"/>
          <w:sz w:val="20"/>
          <w:szCs w:val="20"/>
          <w:vertAlign w:val="superscript"/>
        </w:rPr>
      </w:r>
      <w:r w:rsidR="00BB2BCF" w:rsidRPr="008071FA">
        <w:rPr>
          <w:rFonts w:eastAsia="Times New Roman" w:cs="Times New Roman"/>
          <w:sz w:val="20"/>
          <w:szCs w:val="20"/>
          <w:vertAlign w:val="superscript"/>
        </w:rPr>
        <w:fldChar w:fldCharType="separate"/>
      </w:r>
      <w:r w:rsidR="005D0707" w:rsidRPr="005D0707">
        <w:rPr>
          <w:rStyle w:val="Appelnotedebasdep"/>
        </w:rPr>
        <w:t>3</w:t>
      </w:r>
      <w:r w:rsidR="00BB2BCF" w:rsidRPr="008071FA">
        <w:rPr>
          <w:rFonts w:eastAsia="Times New Roman" w:cs="Times New Roman"/>
          <w:sz w:val="20"/>
          <w:szCs w:val="20"/>
          <w:vertAlign w:val="superscript"/>
        </w:rPr>
        <w:fldChar w:fldCharType="end"/>
      </w:r>
      <w:r w:rsidRPr="008071FA">
        <w:rPr>
          <w:rFonts w:eastAsia="Times New Roman" w:cs="Times New Roman"/>
          <w:sz w:val="20"/>
          <w:szCs w:val="20"/>
        </w:rPr>
        <w:t xml:space="preserve"> de 15,0 %, en hausse de 190 points de base sur neuf mois. </w:t>
      </w:r>
      <w:r>
        <w:rPr>
          <w:rFonts w:eastAsia="Times New Roman" w:cs="Times New Roman"/>
          <w:sz w:val="20"/>
          <w:szCs w:val="20"/>
        </w:rPr>
        <w:t>L</w:t>
      </w:r>
      <w:r w:rsidR="00FE2847">
        <w:rPr>
          <w:rFonts w:eastAsia="Times New Roman" w:cs="Times New Roman"/>
          <w:sz w:val="20"/>
          <w:szCs w:val="20"/>
        </w:rPr>
        <w:t>es réserves de liquidité, à 168 </w:t>
      </w:r>
      <w:r>
        <w:rPr>
          <w:rFonts w:eastAsia="Times New Roman" w:cs="Times New Roman"/>
          <w:sz w:val="20"/>
          <w:szCs w:val="20"/>
        </w:rPr>
        <w:t>milliards d’euros au 30</w:t>
      </w:r>
      <w:r w:rsidR="00CF763D">
        <w:rPr>
          <w:rFonts w:eastAsia="Times New Roman" w:cs="Times New Roman"/>
          <w:sz w:val="20"/>
          <w:szCs w:val="20"/>
        </w:rPr>
        <w:t xml:space="preserve"> septembre 2</w:t>
      </w:r>
      <w:r>
        <w:rPr>
          <w:rFonts w:eastAsia="Times New Roman" w:cs="Times New Roman"/>
          <w:sz w:val="20"/>
          <w:szCs w:val="20"/>
        </w:rPr>
        <w:t>014, couvrent très largement le refinancement à court terme (161</w:t>
      </w:r>
      <w:r w:rsidRPr="008071FA">
        <w:rPr>
          <w:rFonts w:eastAsia="Times New Roman" w:cs="Times New Roman"/>
          <w:sz w:val="20"/>
          <w:szCs w:val="20"/>
        </w:rPr>
        <w:t> </w:t>
      </w:r>
      <w:r>
        <w:rPr>
          <w:rFonts w:eastAsia="Times New Roman" w:cs="Times New Roman"/>
          <w:sz w:val="20"/>
          <w:szCs w:val="20"/>
        </w:rPr>
        <w:t>%).</w:t>
      </w:r>
    </w:p>
    <w:p w:rsidR="0040460D" w:rsidRPr="00BC1338" w:rsidRDefault="0040460D" w:rsidP="0040460D">
      <w:pPr>
        <w:tabs>
          <w:tab w:val="left" w:pos="426"/>
        </w:tabs>
        <w:spacing w:line="240" w:lineRule="atLeast"/>
        <w:rPr>
          <w:rFonts w:eastAsia="Times New Roman" w:cs="Times New Roman"/>
          <w:sz w:val="20"/>
          <w:szCs w:val="20"/>
        </w:rPr>
      </w:pPr>
    </w:p>
    <w:p w:rsidR="0040460D" w:rsidRDefault="0040460D" w:rsidP="0040460D">
      <w:pPr>
        <w:tabs>
          <w:tab w:val="left" w:pos="426"/>
        </w:tabs>
        <w:spacing w:line="240" w:lineRule="atLeast"/>
        <w:rPr>
          <w:rFonts w:eastAsia="Times New Roman" w:cs="Times New Roman"/>
          <w:sz w:val="20"/>
          <w:szCs w:val="20"/>
        </w:rPr>
      </w:pPr>
      <w:r w:rsidRPr="00BC1338">
        <w:rPr>
          <w:rFonts w:eastAsia="Times New Roman" w:cs="Times New Roman"/>
          <w:sz w:val="20"/>
          <w:szCs w:val="20"/>
        </w:rPr>
        <w:t>Le Groupe BPCE confirme encore son rôle actif dans le financement de l’économie avec une hausse de 3,7 % sur un an de ses encours de crédits clientèle (réseaux Banque Populaire et Caisse d’Epargne).</w:t>
      </w:r>
    </w:p>
    <w:p w:rsidR="00D54C02" w:rsidRPr="00BC1338" w:rsidRDefault="00D54C02" w:rsidP="0040460D">
      <w:pPr>
        <w:tabs>
          <w:tab w:val="left" w:pos="426"/>
        </w:tabs>
        <w:spacing w:line="240" w:lineRule="atLeast"/>
        <w:rPr>
          <w:rFonts w:eastAsia="Times New Roman" w:cs="Times New Roman"/>
          <w:sz w:val="20"/>
          <w:szCs w:val="20"/>
        </w:rPr>
      </w:pPr>
    </w:p>
    <w:p w:rsidR="0040460D" w:rsidRPr="00813FFA" w:rsidRDefault="00B84680" w:rsidP="00B84680">
      <w:pPr>
        <w:spacing w:after="200" w:line="276" w:lineRule="auto"/>
        <w:jc w:val="left"/>
        <w:rPr>
          <w:rFonts w:eastAsia="Times New Roman" w:cs="Times New Roman"/>
          <w:color w:val="FF0000"/>
          <w:sz w:val="20"/>
          <w:szCs w:val="20"/>
        </w:rPr>
      </w:pPr>
      <w:r>
        <w:rPr>
          <w:rFonts w:eastAsia="Times New Roman" w:cs="Times New Roman"/>
          <w:color w:val="FF0000"/>
          <w:sz w:val="20"/>
          <w:szCs w:val="20"/>
        </w:rPr>
        <w:br w:type="page"/>
      </w:r>
    </w:p>
    <w:p w:rsidR="0040460D" w:rsidRPr="00491E5C" w:rsidRDefault="0040460D" w:rsidP="0040460D">
      <w:pPr>
        <w:tabs>
          <w:tab w:val="left" w:pos="426"/>
        </w:tabs>
        <w:spacing w:line="240" w:lineRule="atLeast"/>
        <w:rPr>
          <w:rFonts w:eastAsia="Times New Roman" w:cs="Times New Roman"/>
          <w:b/>
          <w:smallCaps/>
          <w:color w:val="E36C0A"/>
          <w:sz w:val="20"/>
          <w:szCs w:val="20"/>
        </w:rPr>
      </w:pPr>
      <w:r w:rsidRPr="00491E5C">
        <w:rPr>
          <w:rFonts w:eastAsia="Times New Roman" w:cs="Times New Roman"/>
          <w:b/>
          <w:smallCaps/>
          <w:color w:val="E36C0A"/>
          <w:sz w:val="20"/>
          <w:szCs w:val="20"/>
        </w:rPr>
        <w:lastRenderedPageBreak/>
        <w:t>1.1</w:t>
      </w:r>
      <w:r w:rsidRPr="00491E5C">
        <w:rPr>
          <w:rFonts w:eastAsia="Times New Roman" w:cs="Times New Roman"/>
          <w:b/>
          <w:smallCaps/>
          <w:color w:val="E36C0A"/>
          <w:sz w:val="20"/>
          <w:szCs w:val="20"/>
        </w:rPr>
        <w:tab/>
      </w:r>
      <w:r w:rsidRPr="00491E5C">
        <w:rPr>
          <w:rFonts w:eastAsia="Times New Roman" w:cs="Times New Roman"/>
          <w:b/>
          <w:color w:val="581D74"/>
          <w:spacing w:val="-6"/>
          <w:sz w:val="20"/>
          <w:szCs w:val="20"/>
        </w:rPr>
        <w:t xml:space="preserve">Résultats consolidés du </w:t>
      </w:r>
      <w:r>
        <w:rPr>
          <w:rFonts w:eastAsia="Times New Roman" w:cs="Times New Roman"/>
          <w:b/>
          <w:color w:val="581D74"/>
          <w:spacing w:val="-6"/>
          <w:sz w:val="20"/>
          <w:szCs w:val="20"/>
        </w:rPr>
        <w:t>troisième</w:t>
      </w:r>
      <w:r w:rsidRPr="00491E5C">
        <w:rPr>
          <w:rFonts w:eastAsia="Times New Roman" w:cs="Times New Roman"/>
          <w:b/>
          <w:color w:val="581D74"/>
          <w:spacing w:val="-6"/>
          <w:sz w:val="20"/>
          <w:szCs w:val="20"/>
        </w:rPr>
        <w:t xml:space="preserve"> trimestre </w:t>
      </w:r>
      <w:r w:rsidR="00832161">
        <w:rPr>
          <w:rFonts w:eastAsia="Times New Roman" w:cs="Times New Roman"/>
          <w:b/>
          <w:color w:val="581D74"/>
          <w:spacing w:val="-6"/>
          <w:sz w:val="20"/>
          <w:szCs w:val="20"/>
        </w:rPr>
        <w:t>2014</w:t>
      </w:r>
      <w:r w:rsidR="00832161" w:rsidRPr="00046AB3">
        <w:rPr>
          <w:rFonts w:eastAsia="Times New Roman" w:cs="Times New Roman"/>
          <w:b/>
          <w:color w:val="581D74" w:themeColor="accent1"/>
          <w:spacing w:val="-6"/>
          <w:sz w:val="20"/>
          <w:szCs w:val="20"/>
        </w:rPr>
        <w:fldChar w:fldCharType="begin"/>
      </w:r>
      <w:r w:rsidR="00832161" w:rsidRPr="00046AB3">
        <w:rPr>
          <w:rFonts w:eastAsia="Times New Roman" w:cs="Times New Roman"/>
          <w:b/>
          <w:color w:val="581D74" w:themeColor="accent1"/>
          <w:spacing w:val="-6"/>
          <w:sz w:val="20"/>
          <w:szCs w:val="20"/>
        </w:rPr>
        <w:instrText xml:space="preserve"> NOTEREF _Ref402536538 \f \h </w:instrText>
      </w:r>
      <w:r w:rsidR="004508A9" w:rsidRPr="00046AB3">
        <w:rPr>
          <w:rFonts w:eastAsia="Times New Roman" w:cs="Times New Roman"/>
          <w:b/>
          <w:color w:val="581D74" w:themeColor="accent1"/>
          <w:spacing w:val="-6"/>
          <w:sz w:val="20"/>
          <w:szCs w:val="20"/>
        </w:rPr>
        <w:instrText xml:space="preserve"> \* MERGEFORMAT </w:instrText>
      </w:r>
      <w:r w:rsidR="00832161" w:rsidRPr="00046AB3">
        <w:rPr>
          <w:rFonts w:eastAsia="Times New Roman" w:cs="Times New Roman"/>
          <w:b/>
          <w:color w:val="581D74" w:themeColor="accent1"/>
          <w:spacing w:val="-6"/>
          <w:sz w:val="20"/>
          <w:szCs w:val="20"/>
        </w:rPr>
      </w:r>
      <w:r w:rsidR="00832161" w:rsidRPr="00046AB3">
        <w:rPr>
          <w:rFonts w:eastAsia="Times New Roman" w:cs="Times New Roman"/>
          <w:b/>
          <w:color w:val="581D74" w:themeColor="accent1"/>
          <w:spacing w:val="-6"/>
          <w:sz w:val="20"/>
          <w:szCs w:val="20"/>
        </w:rPr>
        <w:fldChar w:fldCharType="separate"/>
      </w:r>
      <w:r w:rsidR="005D0707" w:rsidRPr="005D0707">
        <w:rPr>
          <w:rStyle w:val="Appelnotedebasdep"/>
          <w:color w:val="581D74" w:themeColor="accent1"/>
        </w:rPr>
        <w:t>7</w:t>
      </w:r>
      <w:r w:rsidR="00832161" w:rsidRPr="00046AB3">
        <w:rPr>
          <w:rFonts w:eastAsia="Times New Roman" w:cs="Times New Roman"/>
          <w:b/>
          <w:color w:val="581D74" w:themeColor="accent1"/>
          <w:spacing w:val="-6"/>
          <w:sz w:val="20"/>
          <w:szCs w:val="20"/>
        </w:rPr>
        <w:fldChar w:fldCharType="end"/>
      </w:r>
      <w:r>
        <w:rPr>
          <w:rFonts w:eastAsia="Times New Roman" w:cs="Times New Roman"/>
          <w:b/>
          <w:color w:val="581D74"/>
          <w:spacing w:val="-6"/>
          <w:sz w:val="20"/>
          <w:szCs w:val="20"/>
        </w:rPr>
        <w:t> : solide progression du résulta</w:t>
      </w:r>
      <w:r w:rsidR="00FE2847">
        <w:rPr>
          <w:rFonts w:eastAsia="Times New Roman" w:cs="Times New Roman"/>
          <w:b/>
          <w:color w:val="581D74"/>
          <w:spacing w:val="-6"/>
          <w:sz w:val="20"/>
          <w:szCs w:val="20"/>
        </w:rPr>
        <w:t>t avant impôt du groupe de 15,6 </w:t>
      </w:r>
      <w:r>
        <w:rPr>
          <w:rFonts w:eastAsia="Times New Roman" w:cs="Times New Roman"/>
          <w:b/>
          <w:color w:val="581D74"/>
          <w:spacing w:val="-6"/>
          <w:sz w:val="20"/>
          <w:szCs w:val="20"/>
        </w:rPr>
        <w:t xml:space="preserve">% au T3-14, portée par les métiers </w:t>
      </w:r>
      <w:proofErr w:type="spellStart"/>
      <w:r>
        <w:rPr>
          <w:rFonts w:eastAsia="Times New Roman" w:cs="Times New Roman"/>
          <w:b/>
          <w:color w:val="581D74"/>
          <w:spacing w:val="-6"/>
          <w:sz w:val="20"/>
          <w:szCs w:val="20"/>
        </w:rPr>
        <w:t>coeurs</w:t>
      </w:r>
      <w:proofErr w:type="spellEnd"/>
    </w:p>
    <w:p w:rsidR="0040460D" w:rsidRPr="00813FFA" w:rsidRDefault="0040460D" w:rsidP="0040460D">
      <w:pPr>
        <w:tabs>
          <w:tab w:val="left" w:pos="426"/>
        </w:tabs>
        <w:spacing w:line="240" w:lineRule="atLeast"/>
        <w:rPr>
          <w:rFonts w:eastAsia="Times New Roman" w:cs="Times New Roman"/>
          <w:color w:val="FF0000"/>
          <w:sz w:val="20"/>
          <w:szCs w:val="20"/>
        </w:rPr>
      </w:pPr>
    </w:p>
    <w:p w:rsidR="0040460D" w:rsidRPr="00813FFA" w:rsidRDefault="0040460D" w:rsidP="0040460D">
      <w:pPr>
        <w:tabs>
          <w:tab w:val="left" w:pos="426"/>
        </w:tabs>
        <w:spacing w:line="240" w:lineRule="atLeast"/>
        <w:rPr>
          <w:rFonts w:eastAsia="Times New Roman" w:cs="Times New Roman"/>
          <w:color w:val="FF0000"/>
          <w:sz w:val="20"/>
          <w:szCs w:val="20"/>
        </w:rPr>
      </w:pPr>
      <w:r w:rsidRPr="002F7535">
        <w:rPr>
          <w:rFonts w:eastAsia="Times New Roman" w:cs="Times New Roman"/>
          <w:sz w:val="20"/>
          <w:szCs w:val="20"/>
        </w:rPr>
        <w:t xml:space="preserve">Le </w:t>
      </w:r>
      <w:r w:rsidRPr="002F7535">
        <w:rPr>
          <w:rFonts w:eastAsia="Times New Roman" w:cs="Times New Roman"/>
          <w:b/>
          <w:bCs/>
          <w:sz w:val="20"/>
          <w:szCs w:val="20"/>
        </w:rPr>
        <w:t>produit net bancaire</w:t>
      </w:r>
      <w:r w:rsidR="002F237D" w:rsidRPr="00046AB3">
        <w:rPr>
          <w:rFonts w:eastAsia="Times New Roman" w:cs="Times New Roman"/>
          <w:b/>
          <w:bCs/>
          <w:sz w:val="20"/>
          <w:szCs w:val="20"/>
        </w:rPr>
        <w:fldChar w:fldCharType="begin"/>
      </w:r>
      <w:r w:rsidR="002F237D" w:rsidRPr="004508A9">
        <w:rPr>
          <w:rFonts w:eastAsia="Times New Roman" w:cs="Times New Roman"/>
          <w:b/>
          <w:bCs/>
          <w:sz w:val="20"/>
          <w:szCs w:val="20"/>
        </w:rPr>
        <w:instrText xml:space="preserve"> NOTEREF _Ref402536240 \f \h </w:instrText>
      </w:r>
      <w:r w:rsidR="004508A9" w:rsidRPr="00046AB3">
        <w:rPr>
          <w:rFonts w:eastAsia="Times New Roman" w:cs="Times New Roman"/>
          <w:b/>
          <w:bCs/>
          <w:sz w:val="20"/>
          <w:szCs w:val="20"/>
        </w:rPr>
        <w:instrText xml:space="preserve"> \* MERGEFORMAT </w:instrText>
      </w:r>
      <w:r w:rsidR="002F237D" w:rsidRPr="00046AB3">
        <w:rPr>
          <w:rFonts w:eastAsia="Times New Roman" w:cs="Times New Roman"/>
          <w:b/>
          <w:bCs/>
          <w:sz w:val="20"/>
          <w:szCs w:val="20"/>
        </w:rPr>
      </w:r>
      <w:r w:rsidR="002F237D" w:rsidRPr="00046AB3">
        <w:rPr>
          <w:rFonts w:eastAsia="Times New Roman" w:cs="Times New Roman"/>
          <w:b/>
          <w:bCs/>
          <w:sz w:val="20"/>
          <w:szCs w:val="20"/>
        </w:rPr>
        <w:fldChar w:fldCharType="separate"/>
      </w:r>
      <w:r w:rsidR="005D0707" w:rsidRPr="005D0707">
        <w:rPr>
          <w:rStyle w:val="Appelnotedebasdep"/>
        </w:rPr>
        <w:t>8</w:t>
      </w:r>
      <w:r w:rsidR="002F237D" w:rsidRPr="00046AB3">
        <w:rPr>
          <w:rFonts w:eastAsia="Times New Roman" w:cs="Times New Roman"/>
          <w:b/>
          <w:bCs/>
          <w:sz w:val="20"/>
          <w:szCs w:val="20"/>
        </w:rPr>
        <w:fldChar w:fldCharType="end"/>
      </w:r>
      <w:r w:rsidRPr="002F7535">
        <w:rPr>
          <w:rFonts w:eastAsia="Times New Roman" w:cs="Times New Roman"/>
          <w:b/>
          <w:bCs/>
          <w:sz w:val="20"/>
          <w:szCs w:val="20"/>
        </w:rPr>
        <w:t xml:space="preserve"> </w:t>
      </w:r>
      <w:r w:rsidRPr="002F7535">
        <w:rPr>
          <w:rFonts w:eastAsia="Times New Roman" w:cs="Times New Roman"/>
          <w:sz w:val="20"/>
          <w:szCs w:val="20"/>
        </w:rPr>
        <w:t>du Groupe BPCE atteint 5</w:t>
      </w:r>
      <w:r w:rsidR="00FE2847">
        <w:rPr>
          <w:rFonts w:eastAsia="Times New Roman" w:cs="Times New Roman"/>
          <w:sz w:val="20"/>
          <w:szCs w:val="20"/>
        </w:rPr>
        <w:t> </w:t>
      </w:r>
      <w:r w:rsidRPr="002F7535">
        <w:rPr>
          <w:rFonts w:eastAsia="Times New Roman" w:cs="Times New Roman"/>
          <w:sz w:val="20"/>
          <w:szCs w:val="20"/>
        </w:rPr>
        <w:t>839 millions d’euros, en hausse de 3,2 % par rapport au troisième trimestre 2013</w:t>
      </w:r>
      <w:r>
        <w:rPr>
          <w:rFonts w:eastAsia="Times New Roman" w:cs="Times New Roman"/>
          <w:sz w:val="20"/>
          <w:szCs w:val="20"/>
        </w:rPr>
        <w:t>. L</w:t>
      </w:r>
      <w:r w:rsidRPr="002F7535">
        <w:rPr>
          <w:rFonts w:eastAsia="Times New Roman" w:cs="Times New Roman"/>
          <w:sz w:val="20"/>
          <w:szCs w:val="20"/>
        </w:rPr>
        <w:t>es métiers cœurs</w:t>
      </w:r>
      <w:r>
        <w:rPr>
          <w:rFonts w:eastAsia="Times New Roman" w:cs="Times New Roman"/>
          <w:sz w:val="20"/>
          <w:szCs w:val="20"/>
        </w:rPr>
        <w:t xml:space="preserve"> produisent </w:t>
      </w:r>
      <w:r w:rsidRPr="00705E61">
        <w:rPr>
          <w:rFonts w:eastAsia="Times New Roman" w:cs="Times New Roman"/>
          <w:sz w:val="20"/>
          <w:szCs w:val="20"/>
        </w:rPr>
        <w:t xml:space="preserve">un </w:t>
      </w:r>
      <w:r w:rsidRPr="00705E61">
        <w:rPr>
          <w:rFonts w:eastAsia="Times New Roman" w:cs="Times New Roman"/>
          <w:bCs/>
          <w:sz w:val="20"/>
          <w:szCs w:val="20"/>
        </w:rPr>
        <w:t>produit net bancaire</w:t>
      </w:r>
      <w:r w:rsidR="00F90C66">
        <w:rPr>
          <w:rFonts w:eastAsia="Times New Roman" w:cs="Times New Roman"/>
          <w:bCs/>
          <w:sz w:val="20"/>
          <w:szCs w:val="20"/>
        </w:rPr>
        <w:fldChar w:fldCharType="begin"/>
      </w:r>
      <w:r w:rsidR="00F90C66">
        <w:rPr>
          <w:rFonts w:eastAsia="Times New Roman" w:cs="Times New Roman"/>
          <w:bCs/>
          <w:sz w:val="20"/>
          <w:szCs w:val="20"/>
        </w:rPr>
        <w:instrText xml:space="preserve"> NOTEREF _Ref402536240 \f \h </w:instrText>
      </w:r>
      <w:r w:rsidR="00F90C66">
        <w:rPr>
          <w:rFonts w:eastAsia="Times New Roman" w:cs="Times New Roman"/>
          <w:bCs/>
          <w:sz w:val="20"/>
          <w:szCs w:val="20"/>
        </w:rPr>
      </w:r>
      <w:r w:rsidR="00F90C66">
        <w:rPr>
          <w:rFonts w:eastAsia="Times New Roman" w:cs="Times New Roman"/>
          <w:bCs/>
          <w:sz w:val="20"/>
          <w:szCs w:val="20"/>
        </w:rPr>
        <w:fldChar w:fldCharType="separate"/>
      </w:r>
      <w:r w:rsidR="005D0707" w:rsidRPr="005D0707">
        <w:rPr>
          <w:rStyle w:val="Appelnotedebasdep"/>
        </w:rPr>
        <w:t>8</w:t>
      </w:r>
      <w:r w:rsidR="00F90C66">
        <w:rPr>
          <w:rFonts w:eastAsia="Times New Roman" w:cs="Times New Roman"/>
          <w:bCs/>
          <w:sz w:val="20"/>
          <w:szCs w:val="20"/>
        </w:rPr>
        <w:fldChar w:fldCharType="end"/>
      </w:r>
      <w:r w:rsidRPr="00705E61">
        <w:rPr>
          <w:rFonts w:eastAsia="Times New Roman" w:cs="Times New Roman"/>
          <w:bCs/>
          <w:sz w:val="20"/>
          <w:szCs w:val="20"/>
        </w:rPr>
        <w:t xml:space="preserve"> de </w:t>
      </w:r>
      <w:r w:rsidRPr="00705E61">
        <w:rPr>
          <w:rFonts w:eastAsia="Times New Roman" w:cs="Times New Roman"/>
          <w:sz w:val="20"/>
          <w:szCs w:val="20"/>
        </w:rPr>
        <w:t>5 44</w:t>
      </w:r>
      <w:r w:rsidRPr="002F7535">
        <w:rPr>
          <w:rFonts w:eastAsia="Times New Roman" w:cs="Times New Roman"/>
          <w:sz w:val="20"/>
          <w:szCs w:val="20"/>
        </w:rPr>
        <w:t xml:space="preserve">9 millions d’euros, </w:t>
      </w:r>
      <w:r>
        <w:rPr>
          <w:rFonts w:eastAsia="Times New Roman" w:cs="Times New Roman"/>
          <w:sz w:val="20"/>
          <w:szCs w:val="20"/>
        </w:rPr>
        <w:t>en hausse de 2,4 % sur un an</w:t>
      </w:r>
      <w:r w:rsidRPr="002F7535">
        <w:rPr>
          <w:rFonts w:eastAsia="Times New Roman" w:cs="Times New Roman"/>
          <w:sz w:val="20"/>
          <w:szCs w:val="20"/>
        </w:rPr>
        <w:t xml:space="preserve">. </w:t>
      </w:r>
    </w:p>
    <w:p w:rsidR="0040460D" w:rsidRPr="00813FFA" w:rsidRDefault="0040460D" w:rsidP="0040460D">
      <w:pPr>
        <w:tabs>
          <w:tab w:val="left" w:pos="426"/>
        </w:tabs>
        <w:spacing w:line="240" w:lineRule="atLeast"/>
        <w:rPr>
          <w:rFonts w:eastAsia="Times New Roman" w:cs="Times New Roman"/>
          <w:color w:val="FF0000"/>
          <w:sz w:val="20"/>
          <w:szCs w:val="20"/>
        </w:rPr>
      </w:pPr>
    </w:p>
    <w:p w:rsidR="001B428B" w:rsidRDefault="0040460D" w:rsidP="0040460D">
      <w:pPr>
        <w:tabs>
          <w:tab w:val="left" w:pos="426"/>
        </w:tabs>
        <w:spacing w:line="240" w:lineRule="atLeast"/>
        <w:rPr>
          <w:rFonts w:eastAsia="Times New Roman" w:cs="Times New Roman"/>
          <w:sz w:val="20"/>
          <w:szCs w:val="20"/>
        </w:rPr>
      </w:pPr>
      <w:r w:rsidRPr="005B7054">
        <w:rPr>
          <w:rFonts w:eastAsia="Times New Roman" w:cs="Times New Roman"/>
          <w:sz w:val="20"/>
          <w:szCs w:val="20"/>
        </w:rPr>
        <w:t xml:space="preserve">Les </w:t>
      </w:r>
      <w:r w:rsidRPr="005B7054">
        <w:rPr>
          <w:rFonts w:eastAsia="Times New Roman" w:cs="Times New Roman"/>
          <w:b/>
          <w:sz w:val="20"/>
          <w:szCs w:val="20"/>
        </w:rPr>
        <w:t>frais de gestion</w:t>
      </w:r>
      <w:r w:rsidRPr="005B7054">
        <w:rPr>
          <w:rFonts w:eastAsia="Times New Roman" w:cs="Times New Roman"/>
          <w:sz w:val="20"/>
          <w:szCs w:val="20"/>
        </w:rPr>
        <w:t xml:space="preserve"> du groupe s’élèvent </w:t>
      </w:r>
      <w:r w:rsidR="00CF763D">
        <w:rPr>
          <w:rFonts w:eastAsia="Times New Roman" w:cs="Times New Roman"/>
          <w:sz w:val="20"/>
          <w:szCs w:val="20"/>
        </w:rPr>
        <w:t xml:space="preserve">à </w:t>
      </w:r>
      <w:r w:rsidRPr="005B7054">
        <w:rPr>
          <w:rFonts w:eastAsia="Times New Roman" w:cs="Times New Roman"/>
          <w:sz w:val="20"/>
          <w:szCs w:val="20"/>
        </w:rPr>
        <w:t>3 921 millions d’euros</w:t>
      </w:r>
      <w:r w:rsidR="009341EB">
        <w:rPr>
          <w:rFonts w:eastAsia="Times New Roman" w:cs="Times New Roman"/>
          <w:sz w:val="20"/>
          <w:szCs w:val="20"/>
        </w:rPr>
        <w:t xml:space="preserve">. </w:t>
      </w:r>
      <w:r w:rsidRPr="005B7054">
        <w:rPr>
          <w:rFonts w:eastAsia="Times New Roman" w:cs="Times New Roman"/>
          <w:sz w:val="20"/>
          <w:szCs w:val="20"/>
        </w:rPr>
        <w:t>Les</w:t>
      </w:r>
      <w:r w:rsidRPr="005B7054">
        <w:rPr>
          <w:rFonts w:eastAsia="Times New Roman" w:cs="Times New Roman"/>
          <w:b/>
          <w:sz w:val="20"/>
          <w:szCs w:val="20"/>
        </w:rPr>
        <w:t xml:space="preserve"> </w:t>
      </w:r>
      <w:r w:rsidRPr="00686BC8">
        <w:rPr>
          <w:rFonts w:eastAsia="Times New Roman" w:cs="Times New Roman"/>
          <w:sz w:val="20"/>
          <w:szCs w:val="20"/>
        </w:rPr>
        <w:t xml:space="preserve">frais de gestion des métiers cœurs </w:t>
      </w:r>
      <w:r w:rsidRPr="005B7054">
        <w:rPr>
          <w:rFonts w:eastAsia="Times New Roman" w:cs="Times New Roman"/>
          <w:sz w:val="20"/>
          <w:szCs w:val="20"/>
        </w:rPr>
        <w:t>sont stables, à 3 498 millions  d’euros.</w:t>
      </w:r>
    </w:p>
    <w:p w:rsidR="001B428B" w:rsidRDefault="001B428B" w:rsidP="0040460D">
      <w:pPr>
        <w:tabs>
          <w:tab w:val="left" w:pos="426"/>
        </w:tabs>
        <w:spacing w:line="240" w:lineRule="atLeast"/>
        <w:rPr>
          <w:rFonts w:eastAsia="Times New Roman" w:cs="Times New Roman"/>
          <w:sz w:val="20"/>
          <w:szCs w:val="20"/>
        </w:rPr>
      </w:pPr>
    </w:p>
    <w:p w:rsidR="0040460D" w:rsidRPr="00813FFA" w:rsidRDefault="0040460D" w:rsidP="0040460D">
      <w:pPr>
        <w:tabs>
          <w:tab w:val="left" w:pos="426"/>
        </w:tabs>
        <w:spacing w:line="240" w:lineRule="atLeast"/>
        <w:rPr>
          <w:rFonts w:eastAsia="Times New Roman" w:cs="Times New Roman"/>
          <w:color w:val="FF0000"/>
          <w:sz w:val="20"/>
          <w:szCs w:val="20"/>
        </w:rPr>
      </w:pPr>
      <w:r w:rsidRPr="005B7054">
        <w:rPr>
          <w:rFonts w:eastAsia="Times New Roman" w:cs="Times New Roman"/>
          <w:sz w:val="20"/>
          <w:szCs w:val="20"/>
        </w:rPr>
        <w:t xml:space="preserve">Le </w:t>
      </w:r>
      <w:r w:rsidR="00686BC8">
        <w:rPr>
          <w:rFonts w:eastAsia="Times New Roman" w:cs="Times New Roman"/>
          <w:b/>
          <w:bCs/>
          <w:sz w:val="20"/>
          <w:szCs w:val="20"/>
        </w:rPr>
        <w:t xml:space="preserve">coefficient </w:t>
      </w:r>
      <w:r w:rsidRPr="005B7054">
        <w:rPr>
          <w:rFonts w:eastAsia="Times New Roman" w:cs="Times New Roman"/>
          <w:b/>
          <w:bCs/>
          <w:sz w:val="20"/>
          <w:szCs w:val="20"/>
        </w:rPr>
        <w:t xml:space="preserve">d’exploitation </w:t>
      </w:r>
      <w:r>
        <w:rPr>
          <w:rFonts w:eastAsia="Times New Roman" w:cs="Times New Roman"/>
          <w:bCs/>
          <w:sz w:val="20"/>
          <w:szCs w:val="20"/>
        </w:rPr>
        <w:t xml:space="preserve">s’améliore de 2 points, </w:t>
      </w:r>
      <w:r w:rsidRPr="005B7054">
        <w:rPr>
          <w:rFonts w:eastAsia="Times New Roman" w:cs="Times New Roman"/>
          <w:sz w:val="20"/>
          <w:szCs w:val="20"/>
        </w:rPr>
        <w:t>à 67,1 % pour le groupe. Il est de 64,2 % pour les métiers cœurs</w:t>
      </w:r>
      <w:r>
        <w:rPr>
          <w:rFonts w:eastAsia="Times New Roman" w:cs="Times New Roman"/>
          <w:sz w:val="20"/>
          <w:szCs w:val="20"/>
        </w:rPr>
        <w:t xml:space="preserve">, </w:t>
      </w:r>
      <w:r w:rsidRPr="005B7054">
        <w:rPr>
          <w:rFonts w:eastAsia="Times New Roman" w:cs="Times New Roman"/>
          <w:sz w:val="20"/>
          <w:szCs w:val="20"/>
        </w:rPr>
        <w:t xml:space="preserve">en </w:t>
      </w:r>
      <w:r>
        <w:rPr>
          <w:rFonts w:eastAsia="Times New Roman" w:cs="Times New Roman"/>
          <w:sz w:val="20"/>
          <w:szCs w:val="20"/>
        </w:rPr>
        <w:t xml:space="preserve">diminution de </w:t>
      </w:r>
      <w:r w:rsidRPr="005B7054">
        <w:rPr>
          <w:rFonts w:eastAsia="Times New Roman" w:cs="Times New Roman"/>
          <w:sz w:val="20"/>
          <w:szCs w:val="20"/>
        </w:rPr>
        <w:t>1,5 point par rapp</w:t>
      </w:r>
      <w:r>
        <w:rPr>
          <w:rFonts w:eastAsia="Times New Roman" w:cs="Times New Roman"/>
          <w:sz w:val="20"/>
          <w:szCs w:val="20"/>
        </w:rPr>
        <w:t>ort au troisième trimestre 2013</w:t>
      </w:r>
      <w:r w:rsidRPr="005B7054">
        <w:rPr>
          <w:rFonts w:eastAsia="Times New Roman" w:cs="Times New Roman"/>
          <w:sz w:val="20"/>
          <w:szCs w:val="20"/>
        </w:rPr>
        <w:t>.</w:t>
      </w:r>
    </w:p>
    <w:p w:rsidR="0040460D" w:rsidRPr="00813FFA" w:rsidRDefault="0040460D" w:rsidP="0040460D">
      <w:pPr>
        <w:tabs>
          <w:tab w:val="left" w:pos="426"/>
        </w:tabs>
        <w:spacing w:line="240" w:lineRule="atLeast"/>
        <w:rPr>
          <w:rFonts w:eastAsia="Times New Roman" w:cs="Times New Roman"/>
          <w:color w:val="FF0000"/>
          <w:sz w:val="20"/>
          <w:szCs w:val="20"/>
        </w:rPr>
      </w:pPr>
    </w:p>
    <w:p w:rsidR="0040460D" w:rsidRPr="00E77F85" w:rsidRDefault="0040460D" w:rsidP="0040460D">
      <w:pPr>
        <w:tabs>
          <w:tab w:val="left" w:pos="426"/>
        </w:tabs>
        <w:spacing w:line="240" w:lineRule="atLeast"/>
        <w:rPr>
          <w:rFonts w:eastAsia="Times New Roman" w:cs="Times New Roman"/>
          <w:sz w:val="20"/>
          <w:szCs w:val="20"/>
        </w:rPr>
      </w:pPr>
      <w:r w:rsidRPr="00E77F85">
        <w:rPr>
          <w:rFonts w:eastAsia="Times New Roman" w:cs="Times New Roman"/>
          <w:sz w:val="20"/>
          <w:szCs w:val="20"/>
        </w:rPr>
        <w:t>Le</w:t>
      </w:r>
      <w:r w:rsidRPr="00E77F85">
        <w:rPr>
          <w:rFonts w:eastAsia="Times New Roman" w:cs="Times New Roman"/>
          <w:b/>
          <w:sz w:val="20"/>
          <w:szCs w:val="20"/>
        </w:rPr>
        <w:t xml:space="preserve"> </w:t>
      </w:r>
      <w:r w:rsidRPr="00E77F85">
        <w:rPr>
          <w:rFonts w:eastAsia="Times New Roman" w:cs="Times New Roman"/>
          <w:b/>
          <w:bCs/>
          <w:sz w:val="20"/>
          <w:szCs w:val="20"/>
        </w:rPr>
        <w:t>résultat brut d’exploitation</w:t>
      </w:r>
      <w:bookmarkStart w:id="5" w:name="_Ref402536240"/>
      <w:r w:rsidRPr="00D8707E">
        <w:rPr>
          <w:rStyle w:val="Appelnotedebasdep"/>
          <w:rFonts w:eastAsia="Times New Roman" w:cs="Times New Roman"/>
          <w:bCs/>
          <w:sz w:val="20"/>
          <w:szCs w:val="20"/>
        </w:rPr>
        <w:footnoteReference w:id="8"/>
      </w:r>
      <w:bookmarkEnd w:id="5"/>
      <w:r w:rsidRPr="00E77F85">
        <w:rPr>
          <w:rFonts w:eastAsia="Times New Roman" w:cs="Times New Roman"/>
          <w:b/>
          <w:bCs/>
          <w:sz w:val="20"/>
          <w:szCs w:val="20"/>
        </w:rPr>
        <w:t xml:space="preserve"> </w:t>
      </w:r>
      <w:r w:rsidRPr="00E77F85">
        <w:rPr>
          <w:rFonts w:eastAsia="Times New Roman" w:cs="Times New Roman"/>
          <w:sz w:val="20"/>
          <w:szCs w:val="20"/>
        </w:rPr>
        <w:t>s’élève à 1</w:t>
      </w:r>
      <w:r w:rsidR="00FE2847">
        <w:rPr>
          <w:rFonts w:eastAsia="Times New Roman" w:cs="Times New Roman"/>
          <w:sz w:val="20"/>
          <w:szCs w:val="20"/>
        </w:rPr>
        <w:t> </w:t>
      </w:r>
      <w:r w:rsidRPr="00E77F85">
        <w:rPr>
          <w:rFonts w:eastAsia="Times New Roman" w:cs="Times New Roman"/>
          <w:sz w:val="20"/>
          <w:szCs w:val="20"/>
        </w:rPr>
        <w:t>918 millions d’euros, en hausse de 10,0 % par rapport au troisième trimestre 2013. La contribution des métiers cœurs du groupe atteint 1 950 millio</w:t>
      </w:r>
      <w:r>
        <w:rPr>
          <w:rFonts w:eastAsia="Times New Roman" w:cs="Times New Roman"/>
          <w:sz w:val="20"/>
          <w:szCs w:val="20"/>
        </w:rPr>
        <w:t>ns d’euros, en hausse de 7,1 % sur un an</w:t>
      </w:r>
      <w:r w:rsidRPr="00E77F85">
        <w:rPr>
          <w:rFonts w:eastAsia="Times New Roman" w:cs="Times New Roman"/>
          <w:sz w:val="20"/>
          <w:szCs w:val="20"/>
        </w:rPr>
        <w:t>.</w:t>
      </w:r>
    </w:p>
    <w:p w:rsidR="0040460D" w:rsidRPr="00813FFA" w:rsidRDefault="0040460D" w:rsidP="0040460D">
      <w:pPr>
        <w:tabs>
          <w:tab w:val="left" w:pos="426"/>
        </w:tabs>
        <w:spacing w:line="240" w:lineRule="atLeast"/>
        <w:rPr>
          <w:rFonts w:eastAsia="Times New Roman" w:cs="Times New Roman"/>
          <w:b/>
          <w:color w:val="FF0000"/>
          <w:sz w:val="20"/>
          <w:szCs w:val="20"/>
        </w:rPr>
      </w:pPr>
    </w:p>
    <w:p w:rsidR="0040460D" w:rsidRPr="00AE16E3" w:rsidRDefault="0040460D" w:rsidP="0040460D">
      <w:pPr>
        <w:tabs>
          <w:tab w:val="left" w:pos="426"/>
        </w:tabs>
        <w:spacing w:line="240" w:lineRule="atLeast"/>
        <w:rPr>
          <w:rFonts w:eastAsia="Times New Roman" w:cs="Times New Roman"/>
          <w:sz w:val="20"/>
          <w:szCs w:val="20"/>
        </w:rPr>
      </w:pPr>
      <w:r w:rsidRPr="00AE16E3">
        <w:rPr>
          <w:rFonts w:eastAsia="Times New Roman" w:cs="Times New Roman"/>
          <w:sz w:val="20"/>
          <w:szCs w:val="20"/>
        </w:rPr>
        <w:t xml:space="preserve">Le </w:t>
      </w:r>
      <w:r w:rsidRPr="00AE16E3">
        <w:rPr>
          <w:rFonts w:eastAsia="Times New Roman" w:cs="Times New Roman"/>
          <w:b/>
          <w:sz w:val="20"/>
          <w:szCs w:val="20"/>
        </w:rPr>
        <w:t xml:space="preserve">coût du risque </w:t>
      </w:r>
      <w:r>
        <w:rPr>
          <w:rFonts w:eastAsia="Times New Roman" w:cs="Times New Roman"/>
          <w:sz w:val="20"/>
          <w:szCs w:val="20"/>
        </w:rPr>
        <w:t>ressort à</w:t>
      </w:r>
      <w:r w:rsidR="00FE2847">
        <w:rPr>
          <w:rFonts w:eastAsia="Times New Roman" w:cs="Times New Roman"/>
          <w:sz w:val="20"/>
          <w:szCs w:val="20"/>
        </w:rPr>
        <w:t xml:space="preserve"> 412 </w:t>
      </w:r>
      <w:r w:rsidRPr="00AE16E3">
        <w:rPr>
          <w:rFonts w:eastAsia="Times New Roman" w:cs="Times New Roman"/>
          <w:sz w:val="20"/>
          <w:szCs w:val="20"/>
        </w:rPr>
        <w:t>millions d’euros, en baisse de 10,1 % par rapport au troisième trimestre 2013. En ce q</w:t>
      </w:r>
      <w:r>
        <w:rPr>
          <w:rFonts w:eastAsia="Times New Roman" w:cs="Times New Roman"/>
          <w:sz w:val="20"/>
          <w:szCs w:val="20"/>
        </w:rPr>
        <w:t xml:space="preserve">ui concerne les métiers cœurs, le coût du risque </w:t>
      </w:r>
      <w:r w:rsidRPr="00AE16E3">
        <w:rPr>
          <w:rFonts w:eastAsia="Times New Roman" w:cs="Times New Roman"/>
          <w:sz w:val="20"/>
          <w:szCs w:val="20"/>
        </w:rPr>
        <w:t>est en baisse de 8,9 %, à 385 millions d’euros</w:t>
      </w:r>
      <w:r>
        <w:rPr>
          <w:rFonts w:eastAsia="Times New Roman" w:cs="Times New Roman"/>
          <w:sz w:val="20"/>
          <w:szCs w:val="20"/>
        </w:rPr>
        <w:t>. Il représente 27 points de base</w:t>
      </w:r>
      <w:bookmarkStart w:id="6" w:name="_Ref402772917"/>
      <w:r>
        <w:rPr>
          <w:rStyle w:val="Appelnotedebasdep"/>
          <w:rFonts w:eastAsia="Times New Roman" w:cs="Times New Roman"/>
          <w:sz w:val="20"/>
          <w:szCs w:val="20"/>
        </w:rPr>
        <w:footnoteReference w:id="9"/>
      </w:r>
      <w:bookmarkEnd w:id="6"/>
      <w:r w:rsidR="000A6CE1">
        <w:rPr>
          <w:rFonts w:eastAsia="Times New Roman" w:cs="Times New Roman"/>
          <w:sz w:val="20"/>
          <w:szCs w:val="20"/>
        </w:rPr>
        <w:t xml:space="preserve"> contre 31 points de base au troisième trimestre 2013</w:t>
      </w:r>
      <w:r>
        <w:rPr>
          <w:rFonts w:eastAsia="Times New Roman" w:cs="Times New Roman"/>
          <w:sz w:val="20"/>
          <w:szCs w:val="20"/>
        </w:rPr>
        <w:t>.</w:t>
      </w:r>
      <w:r w:rsidRPr="00AE16E3">
        <w:rPr>
          <w:rFonts w:eastAsia="Times New Roman" w:cs="Times New Roman"/>
          <w:sz w:val="20"/>
          <w:szCs w:val="20"/>
        </w:rPr>
        <w:t xml:space="preserve"> </w:t>
      </w:r>
    </w:p>
    <w:p w:rsidR="0040460D" w:rsidRPr="00813FFA" w:rsidRDefault="0040460D" w:rsidP="0040460D">
      <w:pPr>
        <w:tabs>
          <w:tab w:val="left" w:pos="426"/>
        </w:tabs>
        <w:spacing w:line="240" w:lineRule="atLeast"/>
        <w:rPr>
          <w:rFonts w:eastAsia="Times New Roman" w:cs="Times New Roman"/>
          <w:color w:val="FF0000"/>
          <w:sz w:val="20"/>
          <w:szCs w:val="20"/>
        </w:rPr>
      </w:pPr>
    </w:p>
    <w:p w:rsidR="0040460D" w:rsidRPr="00B20F3E" w:rsidRDefault="0040460D" w:rsidP="0040460D">
      <w:pPr>
        <w:tabs>
          <w:tab w:val="left" w:pos="426"/>
        </w:tabs>
        <w:spacing w:line="240" w:lineRule="atLeast"/>
        <w:rPr>
          <w:rFonts w:eastAsia="Times New Roman" w:cs="Times New Roman"/>
          <w:sz w:val="20"/>
          <w:szCs w:val="20"/>
        </w:rPr>
      </w:pPr>
      <w:r w:rsidRPr="00B20F3E">
        <w:rPr>
          <w:rFonts w:eastAsia="Times New Roman" w:cs="Times New Roman"/>
          <w:b/>
          <w:sz w:val="20"/>
          <w:szCs w:val="20"/>
        </w:rPr>
        <w:t>Le résultat avant impôt</w:t>
      </w:r>
      <w:r w:rsidR="002F237D">
        <w:rPr>
          <w:rFonts w:eastAsia="Times New Roman" w:cs="Times New Roman"/>
          <w:b/>
          <w:sz w:val="20"/>
          <w:szCs w:val="20"/>
        </w:rPr>
        <w:fldChar w:fldCharType="begin"/>
      </w:r>
      <w:r w:rsidR="002F237D">
        <w:rPr>
          <w:rFonts w:eastAsia="Times New Roman" w:cs="Times New Roman"/>
          <w:b/>
          <w:sz w:val="20"/>
          <w:szCs w:val="20"/>
        </w:rPr>
        <w:instrText xml:space="preserve"> NOTEREF _Ref402536240 \f \h </w:instrText>
      </w:r>
      <w:r w:rsidR="002F237D">
        <w:rPr>
          <w:rFonts w:eastAsia="Times New Roman" w:cs="Times New Roman"/>
          <w:b/>
          <w:sz w:val="20"/>
          <w:szCs w:val="20"/>
        </w:rPr>
      </w:r>
      <w:r w:rsidR="002F237D">
        <w:rPr>
          <w:rFonts w:eastAsia="Times New Roman" w:cs="Times New Roman"/>
          <w:b/>
          <w:sz w:val="20"/>
          <w:szCs w:val="20"/>
        </w:rPr>
        <w:fldChar w:fldCharType="separate"/>
      </w:r>
      <w:r w:rsidR="005D0707" w:rsidRPr="005D0707">
        <w:rPr>
          <w:rStyle w:val="Appelnotedebasdep"/>
        </w:rPr>
        <w:t>8</w:t>
      </w:r>
      <w:r w:rsidR="002F237D">
        <w:rPr>
          <w:rFonts w:eastAsia="Times New Roman" w:cs="Times New Roman"/>
          <w:b/>
          <w:sz w:val="20"/>
          <w:szCs w:val="20"/>
        </w:rPr>
        <w:fldChar w:fldCharType="end"/>
      </w:r>
      <w:r w:rsidRPr="00B20F3E">
        <w:rPr>
          <w:rFonts w:eastAsia="Times New Roman" w:cs="Times New Roman"/>
          <w:b/>
          <w:sz w:val="20"/>
          <w:szCs w:val="20"/>
        </w:rPr>
        <w:t xml:space="preserve"> </w:t>
      </w:r>
      <w:r w:rsidRPr="00B20F3E">
        <w:rPr>
          <w:rFonts w:eastAsia="Times New Roman" w:cs="Times New Roman"/>
          <w:sz w:val="20"/>
          <w:szCs w:val="20"/>
        </w:rPr>
        <w:t>progresse</w:t>
      </w:r>
      <w:r w:rsidR="00FE2847">
        <w:rPr>
          <w:rFonts w:eastAsia="Times New Roman" w:cs="Times New Roman"/>
          <w:sz w:val="20"/>
          <w:szCs w:val="20"/>
        </w:rPr>
        <w:t xml:space="preserve"> de 15,6 % et s’établit à 1 543 </w:t>
      </w:r>
      <w:r w:rsidRPr="00B20F3E">
        <w:rPr>
          <w:rFonts w:eastAsia="Times New Roman" w:cs="Times New Roman"/>
          <w:sz w:val="20"/>
          <w:szCs w:val="20"/>
        </w:rPr>
        <w:t>millions d’euros au troisième trimestre 2014. Le résultat avant impôt des métiers cœurs augmente de 13,3 % à 1 642 millions d’euros au troisième trimestre 2014.</w:t>
      </w:r>
    </w:p>
    <w:p w:rsidR="0040460D" w:rsidRPr="00B20F3E" w:rsidRDefault="0040460D" w:rsidP="0040460D">
      <w:pPr>
        <w:tabs>
          <w:tab w:val="left" w:pos="426"/>
        </w:tabs>
        <w:spacing w:line="240" w:lineRule="atLeast"/>
        <w:rPr>
          <w:rFonts w:eastAsia="Times New Roman" w:cs="Times New Roman"/>
          <w:sz w:val="20"/>
          <w:szCs w:val="20"/>
        </w:rPr>
      </w:pPr>
    </w:p>
    <w:p w:rsidR="0040460D" w:rsidRPr="00B20F3E" w:rsidRDefault="0040460D" w:rsidP="0040460D">
      <w:pPr>
        <w:tabs>
          <w:tab w:val="left" w:pos="426"/>
        </w:tabs>
        <w:spacing w:line="240" w:lineRule="atLeast"/>
        <w:rPr>
          <w:rFonts w:eastAsia="Times New Roman" w:cs="Times New Roman"/>
          <w:b/>
          <w:sz w:val="20"/>
          <w:szCs w:val="20"/>
        </w:rPr>
      </w:pPr>
      <w:r w:rsidRPr="00B20F3E">
        <w:rPr>
          <w:rFonts w:eastAsia="Times New Roman" w:cs="Times New Roman"/>
          <w:b/>
          <w:sz w:val="20"/>
          <w:szCs w:val="20"/>
        </w:rPr>
        <w:t>Le</w:t>
      </w:r>
      <w:r w:rsidRPr="00B20F3E">
        <w:rPr>
          <w:rFonts w:eastAsia="Times New Roman" w:cs="Times New Roman"/>
          <w:sz w:val="20"/>
          <w:szCs w:val="20"/>
        </w:rPr>
        <w:t xml:space="preserve"> </w:t>
      </w:r>
      <w:r w:rsidRPr="00B20F3E">
        <w:rPr>
          <w:rFonts w:eastAsia="Times New Roman" w:cs="Times New Roman"/>
          <w:b/>
          <w:bCs/>
          <w:sz w:val="20"/>
          <w:szCs w:val="20"/>
        </w:rPr>
        <w:t>résultat net part du groupe</w:t>
      </w:r>
      <w:r w:rsidR="009341EB">
        <w:rPr>
          <w:rFonts w:eastAsia="Times New Roman" w:cs="Times New Roman"/>
          <w:b/>
          <w:bCs/>
          <w:sz w:val="20"/>
          <w:szCs w:val="20"/>
        </w:rPr>
        <w:t>,</w:t>
      </w:r>
      <w:r w:rsidRPr="00B20F3E">
        <w:rPr>
          <w:rFonts w:eastAsia="Times New Roman" w:cs="Times New Roman"/>
          <w:b/>
          <w:bCs/>
          <w:sz w:val="20"/>
          <w:szCs w:val="20"/>
        </w:rPr>
        <w:t xml:space="preserve"> </w:t>
      </w:r>
      <w:r w:rsidRPr="00B20F3E">
        <w:rPr>
          <w:rFonts w:eastAsia="Times New Roman" w:cs="Times New Roman"/>
          <w:bCs/>
          <w:sz w:val="20"/>
          <w:szCs w:val="20"/>
        </w:rPr>
        <w:t>hors réévaluation de la dette propre</w:t>
      </w:r>
      <w:r w:rsidR="009341EB">
        <w:rPr>
          <w:rFonts w:eastAsia="Times New Roman" w:cs="Times New Roman"/>
          <w:bCs/>
          <w:sz w:val="20"/>
          <w:szCs w:val="20"/>
        </w:rPr>
        <w:t>,</w:t>
      </w:r>
      <w:r w:rsidRPr="00B20F3E">
        <w:rPr>
          <w:rFonts w:eastAsia="Times New Roman" w:cs="Times New Roman"/>
          <w:b/>
          <w:bCs/>
          <w:sz w:val="20"/>
          <w:szCs w:val="20"/>
        </w:rPr>
        <w:t xml:space="preserve"> </w:t>
      </w:r>
      <w:r w:rsidRPr="00B20F3E">
        <w:rPr>
          <w:rFonts w:eastAsia="Times New Roman" w:cs="Times New Roman"/>
          <w:bCs/>
          <w:sz w:val="20"/>
          <w:szCs w:val="20"/>
        </w:rPr>
        <w:t>s’inscrit en hausse de 4,0 % et</w:t>
      </w:r>
      <w:r w:rsidRPr="00B20F3E">
        <w:rPr>
          <w:rFonts w:eastAsia="Times New Roman" w:cs="Times New Roman"/>
          <w:b/>
          <w:bCs/>
          <w:sz w:val="20"/>
          <w:szCs w:val="20"/>
        </w:rPr>
        <w:t xml:space="preserve"> </w:t>
      </w:r>
      <w:r w:rsidRPr="00B20F3E">
        <w:rPr>
          <w:rFonts w:eastAsia="Times New Roman" w:cs="Times New Roman"/>
          <w:bCs/>
          <w:sz w:val="20"/>
          <w:szCs w:val="20"/>
        </w:rPr>
        <w:t xml:space="preserve">ressort </w:t>
      </w:r>
      <w:r w:rsidRPr="00B20F3E">
        <w:rPr>
          <w:rFonts w:eastAsia="Times New Roman" w:cs="Times New Roman"/>
          <w:sz w:val="20"/>
          <w:szCs w:val="20"/>
        </w:rPr>
        <w:t xml:space="preserve">à </w:t>
      </w:r>
      <w:r w:rsidRPr="00B20F3E">
        <w:rPr>
          <w:rFonts w:eastAsia="Times New Roman" w:cs="Times New Roman"/>
          <w:b/>
          <w:sz w:val="20"/>
          <w:szCs w:val="20"/>
        </w:rPr>
        <w:t>810 millions d’euros</w:t>
      </w:r>
      <w:r w:rsidRPr="00B20F3E">
        <w:rPr>
          <w:rFonts w:eastAsia="Times New Roman" w:cs="Times New Roman"/>
          <w:sz w:val="20"/>
          <w:szCs w:val="20"/>
        </w:rPr>
        <w:t>.</w:t>
      </w:r>
      <w:r>
        <w:rPr>
          <w:rFonts w:eastAsia="Times New Roman" w:cs="Times New Roman"/>
          <w:sz w:val="20"/>
          <w:szCs w:val="20"/>
        </w:rPr>
        <w:t xml:space="preserve"> En prenant en considération la réévaluation de la dette propre, il s’élève à </w:t>
      </w:r>
      <w:r w:rsidRPr="00B20F3E">
        <w:rPr>
          <w:rFonts w:eastAsia="Times New Roman" w:cs="Times New Roman"/>
          <w:sz w:val="20"/>
          <w:szCs w:val="20"/>
        </w:rPr>
        <w:t>720 millions d’euros</w:t>
      </w:r>
      <w:r>
        <w:rPr>
          <w:rFonts w:eastAsia="Times New Roman" w:cs="Times New Roman"/>
          <w:sz w:val="20"/>
          <w:szCs w:val="20"/>
        </w:rPr>
        <w:t xml:space="preserve"> pour le groupe et à 975</w:t>
      </w:r>
      <w:r w:rsidR="00FE2847">
        <w:rPr>
          <w:rFonts w:eastAsia="Times New Roman" w:cs="Times New Roman"/>
          <w:sz w:val="20"/>
          <w:szCs w:val="20"/>
        </w:rPr>
        <w:t> </w:t>
      </w:r>
      <w:r>
        <w:rPr>
          <w:rFonts w:eastAsia="Times New Roman" w:cs="Times New Roman"/>
          <w:sz w:val="20"/>
          <w:szCs w:val="20"/>
        </w:rPr>
        <w:t>millions d’euros pour les métiers cœurs, en hausse de 15,1</w:t>
      </w:r>
      <w:r w:rsidR="00FE2847">
        <w:rPr>
          <w:rFonts w:eastAsia="Times New Roman" w:cs="Times New Roman"/>
          <w:sz w:val="20"/>
          <w:szCs w:val="20"/>
        </w:rPr>
        <w:t> </w:t>
      </w:r>
      <w:r>
        <w:rPr>
          <w:rFonts w:eastAsia="Times New Roman" w:cs="Times New Roman"/>
          <w:sz w:val="20"/>
          <w:szCs w:val="20"/>
        </w:rPr>
        <w:t xml:space="preserve">% </w:t>
      </w:r>
      <w:r w:rsidR="005F30CC">
        <w:rPr>
          <w:rFonts w:eastAsia="Times New Roman" w:cs="Times New Roman"/>
          <w:sz w:val="20"/>
          <w:szCs w:val="20"/>
        </w:rPr>
        <w:t>par rapport au troisième trimestre 2013</w:t>
      </w:r>
      <w:r>
        <w:rPr>
          <w:rFonts w:eastAsia="Times New Roman" w:cs="Times New Roman"/>
          <w:sz w:val="20"/>
          <w:szCs w:val="20"/>
        </w:rPr>
        <w:t xml:space="preserve">. </w:t>
      </w:r>
    </w:p>
    <w:p w:rsidR="0040460D" w:rsidRPr="00813FFA" w:rsidRDefault="0040460D" w:rsidP="0040460D">
      <w:pPr>
        <w:tabs>
          <w:tab w:val="left" w:pos="426"/>
        </w:tabs>
        <w:spacing w:line="240" w:lineRule="atLeast"/>
        <w:rPr>
          <w:rFonts w:eastAsia="Times New Roman" w:cs="Times New Roman"/>
          <w:b/>
          <w:color w:val="FF0000"/>
          <w:sz w:val="20"/>
          <w:szCs w:val="20"/>
        </w:rPr>
      </w:pPr>
    </w:p>
    <w:p w:rsidR="0040460D" w:rsidRPr="003820AC" w:rsidRDefault="0040460D" w:rsidP="0040460D">
      <w:pPr>
        <w:tabs>
          <w:tab w:val="left" w:pos="426"/>
        </w:tabs>
        <w:spacing w:line="240" w:lineRule="atLeast"/>
        <w:rPr>
          <w:rFonts w:eastAsia="Times New Roman" w:cs="Times New Roman"/>
          <w:sz w:val="20"/>
          <w:szCs w:val="20"/>
        </w:rPr>
      </w:pPr>
      <w:r w:rsidRPr="003820AC">
        <w:rPr>
          <w:rFonts w:eastAsia="Times New Roman" w:cs="Times New Roman"/>
          <w:b/>
          <w:sz w:val="20"/>
          <w:szCs w:val="20"/>
        </w:rPr>
        <w:t>Le</w:t>
      </w:r>
      <w:r w:rsidRPr="003820AC">
        <w:rPr>
          <w:rFonts w:eastAsia="Times New Roman" w:cs="Times New Roman"/>
          <w:sz w:val="20"/>
          <w:szCs w:val="20"/>
        </w:rPr>
        <w:t xml:space="preserve"> </w:t>
      </w:r>
      <w:r w:rsidRPr="003820AC">
        <w:rPr>
          <w:rFonts w:eastAsia="Times New Roman" w:cs="Times New Roman"/>
          <w:b/>
          <w:sz w:val="20"/>
          <w:szCs w:val="20"/>
        </w:rPr>
        <w:t>ROE</w:t>
      </w:r>
      <w:r w:rsidRPr="003820AC">
        <w:rPr>
          <w:rFonts w:eastAsia="Times New Roman" w:cs="Times New Roman"/>
          <w:sz w:val="20"/>
          <w:szCs w:val="20"/>
        </w:rPr>
        <w:t xml:space="preserve"> des métiers cœurs ressort à 11 %, en hausse de 1 point.</w:t>
      </w:r>
    </w:p>
    <w:p w:rsidR="0040460D" w:rsidRPr="00813FFA" w:rsidRDefault="0040460D" w:rsidP="0040460D">
      <w:pPr>
        <w:tabs>
          <w:tab w:val="left" w:pos="426"/>
        </w:tabs>
        <w:spacing w:line="240" w:lineRule="atLeast"/>
        <w:rPr>
          <w:rFonts w:eastAsia="Times New Roman" w:cs="Times New Roman"/>
          <w:b/>
          <w:color w:val="FF0000"/>
          <w:spacing w:val="-6"/>
          <w:sz w:val="20"/>
          <w:szCs w:val="20"/>
        </w:rPr>
      </w:pPr>
    </w:p>
    <w:p w:rsidR="0040460D" w:rsidRDefault="0040460D" w:rsidP="0040460D">
      <w:pPr>
        <w:tabs>
          <w:tab w:val="left" w:pos="426"/>
        </w:tabs>
        <w:spacing w:line="240" w:lineRule="atLeast"/>
        <w:rPr>
          <w:rFonts w:eastAsia="Times New Roman" w:cs="Times New Roman"/>
          <w:b/>
          <w:color w:val="E36C0A"/>
          <w:spacing w:val="-6"/>
          <w:sz w:val="20"/>
          <w:szCs w:val="20"/>
        </w:rPr>
      </w:pPr>
    </w:p>
    <w:p w:rsidR="0040460D" w:rsidRPr="0056316F" w:rsidRDefault="0040460D" w:rsidP="0040460D">
      <w:pPr>
        <w:tabs>
          <w:tab w:val="left" w:pos="426"/>
        </w:tabs>
        <w:spacing w:line="240" w:lineRule="atLeast"/>
        <w:rPr>
          <w:rFonts w:eastAsia="Times New Roman" w:cs="Times New Roman"/>
          <w:b/>
          <w:color w:val="FF0000"/>
          <w:spacing w:val="-6"/>
          <w:sz w:val="20"/>
          <w:szCs w:val="20"/>
        </w:rPr>
      </w:pPr>
      <w:r>
        <w:rPr>
          <w:rFonts w:eastAsia="Times New Roman" w:cs="Times New Roman"/>
          <w:b/>
          <w:color w:val="E36C0A"/>
          <w:spacing w:val="-6"/>
          <w:sz w:val="20"/>
          <w:szCs w:val="20"/>
        </w:rPr>
        <w:t>1.2</w:t>
      </w:r>
      <w:r>
        <w:rPr>
          <w:rFonts w:eastAsia="Times New Roman" w:cs="Times New Roman"/>
          <w:b/>
          <w:color w:val="E36C0A"/>
          <w:spacing w:val="-6"/>
          <w:sz w:val="20"/>
          <w:szCs w:val="20"/>
        </w:rPr>
        <w:tab/>
      </w:r>
      <w:r>
        <w:rPr>
          <w:rFonts w:eastAsia="Times New Roman" w:cs="Times New Roman"/>
          <w:b/>
          <w:color w:val="581D74"/>
          <w:spacing w:val="-6"/>
          <w:sz w:val="20"/>
          <w:szCs w:val="20"/>
        </w:rPr>
        <w:t>Résultats consolidés des neuf premiers mois 2014</w:t>
      </w:r>
      <w:r w:rsidR="00D124E2" w:rsidRPr="00D45F90">
        <w:rPr>
          <w:rStyle w:val="Appelnotedebasdep"/>
          <w:b/>
          <w:color w:val="581D74" w:themeColor="accent1"/>
          <w:sz w:val="20"/>
          <w:szCs w:val="20"/>
        </w:rPr>
        <w:fldChar w:fldCharType="begin"/>
      </w:r>
      <w:r w:rsidR="00D124E2" w:rsidRPr="00D45F90">
        <w:rPr>
          <w:rStyle w:val="Appelnotedebasdep"/>
          <w:b/>
          <w:color w:val="581D74" w:themeColor="accent1"/>
          <w:sz w:val="20"/>
          <w:szCs w:val="20"/>
        </w:rPr>
        <w:instrText xml:space="preserve"> NOTEREF _Ref402536538 \f \h  \* MERGEFORMAT </w:instrText>
      </w:r>
      <w:r w:rsidR="00D124E2" w:rsidRPr="00D45F90">
        <w:rPr>
          <w:rStyle w:val="Appelnotedebasdep"/>
          <w:b/>
          <w:color w:val="581D74" w:themeColor="accent1"/>
          <w:sz w:val="20"/>
          <w:szCs w:val="20"/>
        </w:rPr>
      </w:r>
      <w:r w:rsidR="00D124E2" w:rsidRPr="00D45F90">
        <w:rPr>
          <w:rStyle w:val="Appelnotedebasdep"/>
          <w:b/>
          <w:color w:val="581D74" w:themeColor="accent1"/>
          <w:sz w:val="20"/>
          <w:szCs w:val="20"/>
        </w:rPr>
        <w:fldChar w:fldCharType="separate"/>
      </w:r>
      <w:r w:rsidR="005D0707" w:rsidRPr="005D0707">
        <w:rPr>
          <w:rStyle w:val="Appelnotedebasdep"/>
          <w:b/>
          <w:color w:val="581D74" w:themeColor="accent1"/>
          <w:sz w:val="20"/>
          <w:szCs w:val="20"/>
        </w:rPr>
        <w:t>7</w:t>
      </w:r>
      <w:r w:rsidR="00D124E2" w:rsidRPr="00D45F90">
        <w:rPr>
          <w:rStyle w:val="Appelnotedebasdep"/>
          <w:b/>
          <w:color w:val="581D74" w:themeColor="accent1"/>
          <w:sz w:val="20"/>
          <w:szCs w:val="20"/>
        </w:rPr>
        <w:fldChar w:fldCharType="end"/>
      </w:r>
      <w:r w:rsidRPr="0056316F">
        <w:rPr>
          <w:rFonts w:eastAsia="Times New Roman" w:cs="Times New Roman"/>
          <w:b/>
          <w:color w:val="581D74" w:themeColor="accent1"/>
          <w:spacing w:val="-6"/>
          <w:sz w:val="20"/>
          <w:szCs w:val="20"/>
          <w:vertAlign w:val="superscript"/>
        </w:rPr>
        <w:t> </w:t>
      </w:r>
      <w:r w:rsidRPr="0056316F">
        <w:rPr>
          <w:rFonts w:eastAsia="Times New Roman" w:cs="Times New Roman"/>
          <w:b/>
          <w:color w:val="581D74" w:themeColor="accent1"/>
          <w:spacing w:val="-6"/>
          <w:sz w:val="20"/>
          <w:szCs w:val="20"/>
        </w:rPr>
        <w:t>: le résultat net part du groupe</w:t>
      </w:r>
      <w:r w:rsidR="00D124E2" w:rsidRPr="00D45F90">
        <w:rPr>
          <w:rStyle w:val="Appelnotedebasdep"/>
          <w:b/>
          <w:color w:val="581D74" w:themeColor="accent1"/>
          <w:sz w:val="20"/>
          <w:szCs w:val="20"/>
        </w:rPr>
        <w:fldChar w:fldCharType="begin"/>
      </w:r>
      <w:r w:rsidR="00D124E2" w:rsidRPr="00D45F90">
        <w:rPr>
          <w:rStyle w:val="Appelnotedebasdep"/>
          <w:b/>
          <w:color w:val="581D74" w:themeColor="accent1"/>
          <w:sz w:val="20"/>
          <w:szCs w:val="20"/>
        </w:rPr>
        <w:instrText xml:space="preserve"> NOTEREF _Ref402536240 \f \h  \* MERGEFORMAT </w:instrText>
      </w:r>
      <w:r w:rsidR="00D124E2" w:rsidRPr="00D45F90">
        <w:rPr>
          <w:rStyle w:val="Appelnotedebasdep"/>
          <w:b/>
          <w:color w:val="581D74" w:themeColor="accent1"/>
          <w:sz w:val="20"/>
          <w:szCs w:val="20"/>
        </w:rPr>
      </w:r>
      <w:r w:rsidR="00D124E2" w:rsidRPr="00D45F90">
        <w:rPr>
          <w:rStyle w:val="Appelnotedebasdep"/>
          <w:b/>
          <w:color w:val="581D74" w:themeColor="accent1"/>
          <w:sz w:val="20"/>
          <w:szCs w:val="20"/>
        </w:rPr>
        <w:fldChar w:fldCharType="separate"/>
      </w:r>
      <w:r w:rsidR="005D0707" w:rsidRPr="005D0707">
        <w:rPr>
          <w:rStyle w:val="Appelnotedebasdep"/>
          <w:b/>
          <w:color w:val="581D74" w:themeColor="accent1"/>
          <w:sz w:val="20"/>
          <w:szCs w:val="20"/>
        </w:rPr>
        <w:t>8</w:t>
      </w:r>
      <w:r w:rsidR="00D124E2" w:rsidRPr="00D45F90">
        <w:rPr>
          <w:rStyle w:val="Appelnotedebasdep"/>
          <w:b/>
          <w:color w:val="581D74" w:themeColor="accent1"/>
          <w:sz w:val="20"/>
          <w:szCs w:val="20"/>
        </w:rPr>
        <w:fldChar w:fldCharType="end"/>
      </w:r>
      <w:r w:rsidRPr="00FE2847">
        <w:rPr>
          <w:rFonts w:eastAsia="Times New Roman" w:cs="Times New Roman"/>
          <w:b/>
          <w:color w:val="7030A0"/>
          <w:spacing w:val="-6"/>
          <w:sz w:val="20"/>
          <w:szCs w:val="20"/>
        </w:rPr>
        <w:t xml:space="preserve"> </w:t>
      </w:r>
      <w:r w:rsidR="00FE2847">
        <w:rPr>
          <w:rFonts w:eastAsia="Times New Roman" w:cs="Times New Roman"/>
          <w:b/>
          <w:color w:val="581D74" w:themeColor="accent1"/>
          <w:spacing w:val="-6"/>
          <w:sz w:val="20"/>
          <w:szCs w:val="20"/>
        </w:rPr>
        <w:t>s’accroît de 8,2 </w:t>
      </w:r>
      <w:r w:rsidRPr="0056316F">
        <w:rPr>
          <w:rFonts w:eastAsia="Times New Roman" w:cs="Times New Roman"/>
          <w:b/>
          <w:color w:val="581D74" w:themeColor="accent1"/>
          <w:spacing w:val="-6"/>
          <w:sz w:val="20"/>
          <w:szCs w:val="20"/>
        </w:rPr>
        <w:t>% sur 9 mois</w:t>
      </w:r>
    </w:p>
    <w:p w:rsidR="0040460D" w:rsidRPr="00D85724" w:rsidRDefault="0040460D" w:rsidP="0040460D">
      <w:pPr>
        <w:tabs>
          <w:tab w:val="left" w:pos="426"/>
        </w:tabs>
        <w:spacing w:line="240" w:lineRule="atLeast"/>
        <w:rPr>
          <w:rFonts w:eastAsia="Times New Roman" w:cs="Times New Roman"/>
          <w:sz w:val="20"/>
          <w:szCs w:val="20"/>
        </w:rPr>
      </w:pPr>
    </w:p>
    <w:p w:rsidR="0040460D" w:rsidRPr="00D85724" w:rsidRDefault="0040460D" w:rsidP="0040460D">
      <w:pPr>
        <w:tabs>
          <w:tab w:val="left" w:pos="426"/>
        </w:tabs>
        <w:spacing w:line="240" w:lineRule="atLeast"/>
        <w:rPr>
          <w:rFonts w:eastAsia="Times New Roman" w:cs="Times New Roman"/>
          <w:sz w:val="20"/>
          <w:szCs w:val="20"/>
        </w:rPr>
      </w:pPr>
      <w:r w:rsidRPr="00D85724">
        <w:rPr>
          <w:rFonts w:eastAsia="Times New Roman" w:cs="Times New Roman"/>
          <w:sz w:val="20"/>
          <w:szCs w:val="20"/>
        </w:rPr>
        <w:t xml:space="preserve">Le </w:t>
      </w:r>
      <w:r w:rsidRPr="00D85724">
        <w:rPr>
          <w:rFonts w:eastAsia="Times New Roman" w:cs="Times New Roman"/>
          <w:b/>
          <w:bCs/>
          <w:sz w:val="20"/>
          <w:szCs w:val="20"/>
        </w:rPr>
        <w:t>produit net bancaire</w:t>
      </w:r>
      <w:r w:rsidR="00BB2BCF">
        <w:rPr>
          <w:rFonts w:eastAsia="Times New Roman" w:cs="Times New Roman"/>
          <w:b/>
          <w:bCs/>
          <w:sz w:val="20"/>
          <w:szCs w:val="20"/>
        </w:rPr>
        <w:fldChar w:fldCharType="begin"/>
      </w:r>
      <w:r>
        <w:rPr>
          <w:rFonts w:eastAsia="Times New Roman" w:cs="Times New Roman"/>
          <w:b/>
          <w:bCs/>
          <w:sz w:val="20"/>
          <w:szCs w:val="20"/>
        </w:rPr>
        <w:instrText xml:space="preserve"> NOTEREF _Ref402536240 \f \h </w:instrText>
      </w:r>
      <w:r w:rsidR="00BB2BCF">
        <w:rPr>
          <w:rFonts w:eastAsia="Times New Roman" w:cs="Times New Roman"/>
          <w:b/>
          <w:bCs/>
          <w:sz w:val="20"/>
          <w:szCs w:val="20"/>
        </w:rPr>
      </w:r>
      <w:r w:rsidR="00BB2BCF">
        <w:rPr>
          <w:rFonts w:eastAsia="Times New Roman" w:cs="Times New Roman"/>
          <w:b/>
          <w:bCs/>
          <w:sz w:val="20"/>
          <w:szCs w:val="20"/>
        </w:rPr>
        <w:fldChar w:fldCharType="separate"/>
      </w:r>
      <w:r w:rsidR="005D0707" w:rsidRPr="005D0707">
        <w:rPr>
          <w:rStyle w:val="Appelnotedebasdep"/>
        </w:rPr>
        <w:t>8</w:t>
      </w:r>
      <w:r w:rsidR="00BB2BCF">
        <w:rPr>
          <w:rFonts w:eastAsia="Times New Roman" w:cs="Times New Roman"/>
          <w:b/>
          <w:bCs/>
          <w:sz w:val="20"/>
          <w:szCs w:val="20"/>
        </w:rPr>
        <w:fldChar w:fldCharType="end"/>
      </w:r>
      <w:r w:rsidRPr="00D85724">
        <w:rPr>
          <w:rFonts w:eastAsia="Times New Roman" w:cs="Times New Roman"/>
          <w:b/>
          <w:bCs/>
          <w:sz w:val="20"/>
          <w:szCs w:val="20"/>
        </w:rPr>
        <w:t xml:space="preserve"> </w:t>
      </w:r>
      <w:r w:rsidR="00FE2847">
        <w:rPr>
          <w:rFonts w:eastAsia="Times New Roman" w:cs="Times New Roman"/>
          <w:sz w:val="20"/>
          <w:szCs w:val="20"/>
        </w:rPr>
        <w:t>du Groupe BPCE atteint 17 707 </w:t>
      </w:r>
      <w:r w:rsidRPr="00D85724">
        <w:rPr>
          <w:rFonts w:eastAsia="Times New Roman" w:cs="Times New Roman"/>
          <w:sz w:val="20"/>
          <w:szCs w:val="20"/>
        </w:rPr>
        <w:t xml:space="preserve">millions d’euros, en hausse de 3,5 % par rapport aux </w:t>
      </w:r>
      <w:r w:rsidR="00535E8D">
        <w:rPr>
          <w:rFonts w:eastAsia="Times New Roman" w:cs="Times New Roman"/>
          <w:sz w:val="20"/>
          <w:szCs w:val="20"/>
        </w:rPr>
        <w:t>neuf</w:t>
      </w:r>
      <w:r w:rsidRPr="00D85724">
        <w:rPr>
          <w:rFonts w:eastAsia="Times New Roman" w:cs="Times New Roman"/>
          <w:sz w:val="20"/>
          <w:szCs w:val="20"/>
        </w:rPr>
        <w:t xml:space="preserve"> premiers mois de l’année 2013</w:t>
      </w:r>
      <w:r>
        <w:rPr>
          <w:rFonts w:eastAsia="Times New Roman" w:cs="Times New Roman"/>
          <w:sz w:val="20"/>
          <w:szCs w:val="20"/>
        </w:rPr>
        <w:t>. P</w:t>
      </w:r>
      <w:r w:rsidRPr="00D85724">
        <w:rPr>
          <w:rFonts w:eastAsia="Times New Roman" w:cs="Times New Roman"/>
          <w:sz w:val="20"/>
          <w:szCs w:val="20"/>
        </w:rPr>
        <w:t xml:space="preserve">our les métiers cœurs, la progression est de 2,9 % à 16 454 millions d’euros. </w:t>
      </w:r>
    </w:p>
    <w:p w:rsidR="0040460D" w:rsidRPr="00987F8F" w:rsidRDefault="0040460D" w:rsidP="0040460D">
      <w:pPr>
        <w:tabs>
          <w:tab w:val="left" w:pos="426"/>
        </w:tabs>
        <w:spacing w:line="240" w:lineRule="atLeast"/>
        <w:rPr>
          <w:rFonts w:eastAsia="Times New Roman" w:cs="Times New Roman"/>
          <w:color w:val="FF0000"/>
          <w:sz w:val="20"/>
          <w:szCs w:val="20"/>
        </w:rPr>
      </w:pPr>
    </w:p>
    <w:p w:rsidR="001B428B" w:rsidRDefault="0040460D" w:rsidP="0040460D">
      <w:pPr>
        <w:tabs>
          <w:tab w:val="left" w:pos="426"/>
        </w:tabs>
        <w:spacing w:line="240" w:lineRule="atLeast"/>
        <w:rPr>
          <w:rFonts w:eastAsia="Times New Roman" w:cs="Times New Roman"/>
          <w:sz w:val="20"/>
          <w:szCs w:val="20"/>
        </w:rPr>
      </w:pPr>
      <w:r w:rsidRPr="00F670DD">
        <w:rPr>
          <w:rFonts w:eastAsia="Times New Roman" w:cs="Times New Roman"/>
          <w:sz w:val="20"/>
          <w:szCs w:val="20"/>
        </w:rPr>
        <w:t xml:space="preserve">Les </w:t>
      </w:r>
      <w:r w:rsidRPr="00F670DD">
        <w:rPr>
          <w:rFonts w:eastAsia="Times New Roman" w:cs="Times New Roman"/>
          <w:b/>
          <w:sz w:val="20"/>
          <w:szCs w:val="20"/>
        </w:rPr>
        <w:t>frais de gestion</w:t>
      </w:r>
      <w:r w:rsidRPr="00F670DD">
        <w:rPr>
          <w:rFonts w:eastAsia="Times New Roman" w:cs="Times New Roman"/>
          <w:sz w:val="20"/>
          <w:szCs w:val="20"/>
        </w:rPr>
        <w:t xml:space="preserve"> du groupe s’</w:t>
      </w:r>
      <w:r w:rsidR="00FE2847">
        <w:rPr>
          <w:rFonts w:eastAsia="Times New Roman" w:cs="Times New Roman"/>
          <w:sz w:val="20"/>
          <w:szCs w:val="20"/>
        </w:rPr>
        <w:t xml:space="preserve">élèvent </w:t>
      </w:r>
      <w:r w:rsidR="0037754A">
        <w:rPr>
          <w:rFonts w:eastAsia="Times New Roman" w:cs="Times New Roman"/>
          <w:sz w:val="20"/>
          <w:szCs w:val="20"/>
        </w:rPr>
        <w:t xml:space="preserve">à </w:t>
      </w:r>
      <w:r w:rsidR="00FE2847">
        <w:rPr>
          <w:rFonts w:eastAsia="Times New Roman" w:cs="Times New Roman"/>
          <w:sz w:val="20"/>
          <w:szCs w:val="20"/>
        </w:rPr>
        <w:t>12 </w:t>
      </w:r>
      <w:r w:rsidRPr="00F670DD">
        <w:rPr>
          <w:rFonts w:eastAsia="Times New Roman" w:cs="Times New Roman"/>
          <w:sz w:val="20"/>
          <w:szCs w:val="20"/>
        </w:rPr>
        <w:t xml:space="preserve">006 millions d’euros, en hausse de 1,1 % par rapport aux </w:t>
      </w:r>
      <w:r w:rsidR="00535E8D">
        <w:rPr>
          <w:rFonts w:eastAsia="Times New Roman" w:cs="Times New Roman"/>
          <w:sz w:val="20"/>
          <w:szCs w:val="20"/>
        </w:rPr>
        <w:t>neuf</w:t>
      </w:r>
      <w:r w:rsidRPr="00F670DD">
        <w:rPr>
          <w:rFonts w:eastAsia="Times New Roman" w:cs="Times New Roman"/>
          <w:sz w:val="20"/>
          <w:szCs w:val="20"/>
        </w:rPr>
        <w:t xml:space="preserve"> premiers mois de l’année 2013. Les</w:t>
      </w:r>
      <w:r w:rsidRPr="002E2659">
        <w:rPr>
          <w:rFonts w:eastAsia="Times New Roman" w:cs="Times New Roman"/>
          <w:sz w:val="20"/>
          <w:szCs w:val="20"/>
        </w:rPr>
        <w:t xml:space="preserve"> frais de gestion des métiers cœurs</w:t>
      </w:r>
      <w:r w:rsidRPr="00F670DD">
        <w:rPr>
          <w:rFonts w:eastAsia="Times New Roman" w:cs="Times New Roman"/>
          <w:sz w:val="20"/>
          <w:szCs w:val="20"/>
        </w:rPr>
        <w:t xml:space="preserve"> </w:t>
      </w:r>
      <w:r w:rsidR="009341EB">
        <w:rPr>
          <w:rFonts w:eastAsia="Times New Roman" w:cs="Times New Roman"/>
          <w:sz w:val="20"/>
          <w:szCs w:val="20"/>
        </w:rPr>
        <w:t xml:space="preserve">s’accroissent </w:t>
      </w:r>
      <w:r w:rsidR="00FE2847">
        <w:rPr>
          <w:rFonts w:eastAsia="Times New Roman" w:cs="Times New Roman"/>
          <w:sz w:val="20"/>
          <w:szCs w:val="20"/>
        </w:rPr>
        <w:t>de 1,3 </w:t>
      </w:r>
      <w:r w:rsidRPr="00F670DD">
        <w:rPr>
          <w:rFonts w:eastAsia="Times New Roman" w:cs="Times New Roman"/>
          <w:sz w:val="20"/>
          <w:szCs w:val="20"/>
        </w:rPr>
        <w:t>%, à 1</w:t>
      </w:r>
      <w:r>
        <w:rPr>
          <w:rFonts w:eastAsia="Times New Roman" w:cs="Times New Roman"/>
          <w:sz w:val="20"/>
          <w:szCs w:val="20"/>
        </w:rPr>
        <w:t>0</w:t>
      </w:r>
      <w:r w:rsidR="00FE2847">
        <w:rPr>
          <w:rFonts w:eastAsia="Times New Roman" w:cs="Times New Roman"/>
          <w:sz w:val="20"/>
          <w:szCs w:val="20"/>
        </w:rPr>
        <w:t> </w:t>
      </w:r>
      <w:r>
        <w:rPr>
          <w:rFonts w:eastAsia="Times New Roman" w:cs="Times New Roman"/>
          <w:sz w:val="20"/>
          <w:szCs w:val="20"/>
        </w:rPr>
        <w:t>704</w:t>
      </w:r>
      <w:r w:rsidR="00FE2847">
        <w:rPr>
          <w:rFonts w:eastAsia="Times New Roman" w:cs="Times New Roman"/>
          <w:sz w:val="20"/>
          <w:szCs w:val="20"/>
        </w:rPr>
        <w:t xml:space="preserve"> millions </w:t>
      </w:r>
      <w:r w:rsidRPr="00F670DD">
        <w:rPr>
          <w:rFonts w:eastAsia="Times New Roman" w:cs="Times New Roman"/>
          <w:sz w:val="20"/>
          <w:szCs w:val="20"/>
        </w:rPr>
        <w:t>d’euros.</w:t>
      </w:r>
    </w:p>
    <w:p w:rsidR="001B428B" w:rsidRDefault="001B428B" w:rsidP="0040460D">
      <w:pPr>
        <w:tabs>
          <w:tab w:val="left" w:pos="426"/>
        </w:tabs>
        <w:spacing w:line="240" w:lineRule="atLeast"/>
        <w:rPr>
          <w:rFonts w:eastAsia="Times New Roman" w:cs="Times New Roman"/>
          <w:sz w:val="20"/>
          <w:szCs w:val="20"/>
        </w:rPr>
      </w:pPr>
    </w:p>
    <w:p w:rsidR="0040460D" w:rsidRPr="00F670DD" w:rsidRDefault="0040460D" w:rsidP="0040460D">
      <w:pPr>
        <w:tabs>
          <w:tab w:val="left" w:pos="426"/>
        </w:tabs>
        <w:spacing w:line="240" w:lineRule="atLeast"/>
        <w:rPr>
          <w:rFonts w:eastAsia="Times New Roman" w:cs="Times New Roman"/>
          <w:sz w:val="20"/>
          <w:szCs w:val="20"/>
        </w:rPr>
      </w:pPr>
      <w:r w:rsidRPr="00F670DD">
        <w:rPr>
          <w:rFonts w:eastAsia="Times New Roman" w:cs="Times New Roman"/>
          <w:sz w:val="20"/>
          <w:szCs w:val="20"/>
        </w:rPr>
        <w:t xml:space="preserve">Le </w:t>
      </w:r>
      <w:r w:rsidRPr="00F670DD">
        <w:rPr>
          <w:rFonts w:eastAsia="Times New Roman" w:cs="Times New Roman"/>
          <w:b/>
          <w:bCs/>
          <w:sz w:val="20"/>
          <w:szCs w:val="20"/>
        </w:rPr>
        <w:t>coefficient d’exploitation</w:t>
      </w:r>
      <w:r w:rsidRPr="002E2659">
        <w:rPr>
          <w:rFonts w:eastAsia="Times New Roman" w:cs="Times New Roman"/>
          <w:bCs/>
          <w:sz w:val="20"/>
          <w:szCs w:val="20"/>
        </w:rPr>
        <w:t xml:space="preserve"> s’améliore, </w:t>
      </w:r>
      <w:r>
        <w:rPr>
          <w:rFonts w:eastAsia="Times New Roman" w:cs="Times New Roman"/>
          <w:sz w:val="20"/>
          <w:szCs w:val="20"/>
        </w:rPr>
        <w:t xml:space="preserve">à 67,8 % pour le groupe, soit une </w:t>
      </w:r>
      <w:r w:rsidRPr="00F670DD">
        <w:rPr>
          <w:rFonts w:eastAsia="Times New Roman" w:cs="Times New Roman"/>
          <w:sz w:val="20"/>
          <w:szCs w:val="20"/>
        </w:rPr>
        <w:t xml:space="preserve">baisse de 1,6 point par rapport aux </w:t>
      </w:r>
      <w:r w:rsidR="00535E8D">
        <w:rPr>
          <w:rFonts w:eastAsia="Times New Roman" w:cs="Times New Roman"/>
          <w:sz w:val="20"/>
          <w:szCs w:val="20"/>
        </w:rPr>
        <w:t>neuf</w:t>
      </w:r>
      <w:r>
        <w:rPr>
          <w:rFonts w:eastAsia="Times New Roman" w:cs="Times New Roman"/>
          <w:sz w:val="20"/>
          <w:szCs w:val="20"/>
        </w:rPr>
        <w:t xml:space="preserve"> premiers mois de l’année 2013</w:t>
      </w:r>
      <w:r w:rsidRPr="00F670DD">
        <w:rPr>
          <w:rFonts w:eastAsia="Times New Roman" w:cs="Times New Roman"/>
          <w:sz w:val="20"/>
          <w:szCs w:val="20"/>
        </w:rPr>
        <w:t xml:space="preserve">. Il est de 65,1 % pour les métiers cœurs (en réduction de 1,0 point par rapport aux </w:t>
      </w:r>
      <w:r w:rsidR="00535E8D">
        <w:rPr>
          <w:rFonts w:eastAsia="Times New Roman" w:cs="Times New Roman"/>
          <w:sz w:val="20"/>
          <w:szCs w:val="20"/>
        </w:rPr>
        <w:t>neuf</w:t>
      </w:r>
      <w:r w:rsidRPr="00F670DD">
        <w:rPr>
          <w:rFonts w:eastAsia="Times New Roman" w:cs="Times New Roman"/>
          <w:sz w:val="20"/>
          <w:szCs w:val="20"/>
        </w:rPr>
        <w:t xml:space="preserve"> premiers mois de l’année 2013).</w:t>
      </w:r>
    </w:p>
    <w:p w:rsidR="0040460D" w:rsidRPr="00987F8F" w:rsidRDefault="0040460D" w:rsidP="0040460D">
      <w:pPr>
        <w:tabs>
          <w:tab w:val="left" w:pos="426"/>
        </w:tabs>
        <w:spacing w:line="240" w:lineRule="atLeast"/>
        <w:rPr>
          <w:rFonts w:eastAsia="Times New Roman" w:cs="Times New Roman"/>
          <w:color w:val="FF0000"/>
          <w:sz w:val="20"/>
          <w:szCs w:val="20"/>
        </w:rPr>
      </w:pPr>
    </w:p>
    <w:p w:rsidR="0040460D" w:rsidRPr="00915D57" w:rsidRDefault="0040460D" w:rsidP="0040460D">
      <w:pPr>
        <w:tabs>
          <w:tab w:val="left" w:pos="426"/>
        </w:tabs>
        <w:spacing w:line="240" w:lineRule="atLeast"/>
        <w:rPr>
          <w:rFonts w:eastAsia="Times New Roman" w:cs="Times New Roman"/>
          <w:sz w:val="20"/>
          <w:szCs w:val="20"/>
        </w:rPr>
      </w:pPr>
      <w:r w:rsidRPr="00915D57">
        <w:rPr>
          <w:rFonts w:eastAsia="Times New Roman" w:cs="Times New Roman"/>
          <w:sz w:val="20"/>
          <w:szCs w:val="20"/>
        </w:rPr>
        <w:t>Le</w:t>
      </w:r>
      <w:r w:rsidRPr="00915D57">
        <w:rPr>
          <w:rFonts w:eastAsia="Times New Roman" w:cs="Times New Roman"/>
          <w:b/>
          <w:sz w:val="20"/>
          <w:szCs w:val="20"/>
        </w:rPr>
        <w:t xml:space="preserve"> </w:t>
      </w:r>
      <w:r w:rsidRPr="00915D57">
        <w:rPr>
          <w:rFonts w:eastAsia="Times New Roman" w:cs="Times New Roman"/>
          <w:b/>
          <w:bCs/>
          <w:sz w:val="20"/>
          <w:szCs w:val="20"/>
        </w:rPr>
        <w:t>résultat brut d’exploitation</w:t>
      </w:r>
      <w:r w:rsidR="00BB2BCF">
        <w:rPr>
          <w:rFonts w:eastAsia="Times New Roman" w:cs="Times New Roman"/>
          <w:b/>
          <w:bCs/>
          <w:sz w:val="20"/>
          <w:szCs w:val="20"/>
        </w:rPr>
        <w:fldChar w:fldCharType="begin"/>
      </w:r>
      <w:r>
        <w:rPr>
          <w:rFonts w:eastAsia="Times New Roman" w:cs="Times New Roman"/>
          <w:b/>
          <w:bCs/>
          <w:sz w:val="20"/>
          <w:szCs w:val="20"/>
        </w:rPr>
        <w:instrText xml:space="preserve"> NOTEREF _Ref402536240 \f \h </w:instrText>
      </w:r>
      <w:r w:rsidR="00BB2BCF">
        <w:rPr>
          <w:rFonts w:eastAsia="Times New Roman" w:cs="Times New Roman"/>
          <w:b/>
          <w:bCs/>
          <w:sz w:val="20"/>
          <w:szCs w:val="20"/>
        </w:rPr>
      </w:r>
      <w:r w:rsidR="00BB2BCF">
        <w:rPr>
          <w:rFonts w:eastAsia="Times New Roman" w:cs="Times New Roman"/>
          <w:b/>
          <w:bCs/>
          <w:sz w:val="20"/>
          <w:szCs w:val="20"/>
        </w:rPr>
        <w:fldChar w:fldCharType="separate"/>
      </w:r>
      <w:r w:rsidR="005D0707" w:rsidRPr="005D0707">
        <w:rPr>
          <w:rStyle w:val="Appelnotedebasdep"/>
        </w:rPr>
        <w:t>8</w:t>
      </w:r>
      <w:r w:rsidR="00BB2BCF">
        <w:rPr>
          <w:rFonts w:eastAsia="Times New Roman" w:cs="Times New Roman"/>
          <w:b/>
          <w:bCs/>
          <w:sz w:val="20"/>
          <w:szCs w:val="20"/>
        </w:rPr>
        <w:fldChar w:fldCharType="end"/>
      </w:r>
      <w:r w:rsidRPr="00915D57">
        <w:rPr>
          <w:rFonts w:eastAsia="Times New Roman" w:cs="Times New Roman"/>
          <w:b/>
          <w:bCs/>
          <w:sz w:val="20"/>
          <w:szCs w:val="20"/>
        </w:rPr>
        <w:t xml:space="preserve"> </w:t>
      </w:r>
      <w:r w:rsidR="00FE2847">
        <w:rPr>
          <w:rFonts w:eastAsia="Times New Roman" w:cs="Times New Roman"/>
          <w:sz w:val="20"/>
          <w:szCs w:val="20"/>
        </w:rPr>
        <w:t>s’élève à 5 </w:t>
      </w:r>
      <w:r w:rsidRPr="00915D57">
        <w:rPr>
          <w:rFonts w:eastAsia="Times New Roman" w:cs="Times New Roman"/>
          <w:sz w:val="20"/>
          <w:szCs w:val="20"/>
        </w:rPr>
        <w:t xml:space="preserve">702 millions d’euros, en hausse de 9,0 % par rapport aux </w:t>
      </w:r>
      <w:r w:rsidR="00535E8D">
        <w:rPr>
          <w:rFonts w:eastAsia="Times New Roman" w:cs="Times New Roman"/>
          <w:sz w:val="20"/>
          <w:szCs w:val="20"/>
        </w:rPr>
        <w:t>neuf</w:t>
      </w:r>
      <w:r w:rsidRPr="00915D57">
        <w:rPr>
          <w:rFonts w:eastAsia="Times New Roman" w:cs="Times New Roman"/>
          <w:sz w:val="20"/>
          <w:szCs w:val="20"/>
        </w:rPr>
        <w:t xml:space="preserve"> premiers mois de l’année 2013. La contri</w:t>
      </w:r>
      <w:r w:rsidR="00B45A57">
        <w:rPr>
          <w:rFonts w:eastAsia="Times New Roman" w:cs="Times New Roman"/>
          <w:sz w:val="20"/>
          <w:szCs w:val="20"/>
        </w:rPr>
        <w:t xml:space="preserve">bution des métiers cœurs </w:t>
      </w:r>
      <w:r w:rsidRPr="00915D57">
        <w:rPr>
          <w:rFonts w:eastAsia="Times New Roman" w:cs="Times New Roman"/>
          <w:sz w:val="20"/>
          <w:szCs w:val="20"/>
        </w:rPr>
        <w:t xml:space="preserve">atteint 5 750 millions d’euros, en hausse de 6,1 % par rapport aux </w:t>
      </w:r>
      <w:r w:rsidR="00535E8D">
        <w:rPr>
          <w:rFonts w:eastAsia="Times New Roman" w:cs="Times New Roman"/>
          <w:sz w:val="20"/>
          <w:szCs w:val="20"/>
        </w:rPr>
        <w:t>neuf</w:t>
      </w:r>
      <w:r w:rsidRPr="00915D57">
        <w:rPr>
          <w:rFonts w:eastAsia="Times New Roman" w:cs="Times New Roman"/>
          <w:sz w:val="20"/>
          <w:szCs w:val="20"/>
        </w:rPr>
        <w:t xml:space="preserve"> premiers mois de l’année 2013.</w:t>
      </w:r>
    </w:p>
    <w:p w:rsidR="0040460D" w:rsidRPr="00987F8F" w:rsidRDefault="0040460D" w:rsidP="0040460D">
      <w:pPr>
        <w:tabs>
          <w:tab w:val="left" w:pos="426"/>
        </w:tabs>
        <w:spacing w:line="240" w:lineRule="atLeast"/>
        <w:rPr>
          <w:rFonts w:eastAsia="Times New Roman" w:cs="Times New Roman"/>
          <w:b/>
          <w:color w:val="FF0000"/>
          <w:sz w:val="20"/>
          <w:szCs w:val="20"/>
        </w:rPr>
      </w:pPr>
    </w:p>
    <w:p w:rsidR="0040460D" w:rsidRPr="0006618A" w:rsidRDefault="0040460D" w:rsidP="0040460D">
      <w:pPr>
        <w:tabs>
          <w:tab w:val="left" w:pos="426"/>
        </w:tabs>
        <w:spacing w:line="240" w:lineRule="atLeast"/>
        <w:rPr>
          <w:rFonts w:eastAsia="Times New Roman" w:cs="Times New Roman"/>
          <w:sz w:val="20"/>
          <w:szCs w:val="20"/>
        </w:rPr>
      </w:pPr>
      <w:r w:rsidRPr="0006618A">
        <w:rPr>
          <w:rFonts w:eastAsia="Times New Roman" w:cs="Times New Roman"/>
          <w:sz w:val="20"/>
          <w:szCs w:val="20"/>
        </w:rPr>
        <w:lastRenderedPageBreak/>
        <w:t xml:space="preserve">Le </w:t>
      </w:r>
      <w:r w:rsidRPr="0006618A">
        <w:rPr>
          <w:rFonts w:eastAsia="Times New Roman" w:cs="Times New Roman"/>
          <w:b/>
          <w:sz w:val="20"/>
          <w:szCs w:val="20"/>
        </w:rPr>
        <w:t xml:space="preserve">coût du risque </w:t>
      </w:r>
      <w:r w:rsidR="00FE2847">
        <w:rPr>
          <w:rFonts w:eastAsia="Times New Roman" w:cs="Times New Roman"/>
          <w:sz w:val="20"/>
          <w:szCs w:val="20"/>
        </w:rPr>
        <w:t>s’élève à 1 </w:t>
      </w:r>
      <w:r w:rsidRPr="0006618A">
        <w:rPr>
          <w:rFonts w:eastAsia="Times New Roman" w:cs="Times New Roman"/>
          <w:sz w:val="20"/>
          <w:szCs w:val="20"/>
        </w:rPr>
        <w:t>337</w:t>
      </w:r>
      <w:r w:rsidR="00FE2847">
        <w:rPr>
          <w:rFonts w:eastAsia="Times New Roman" w:cs="Times New Roman"/>
          <w:sz w:val="20"/>
          <w:szCs w:val="20"/>
        </w:rPr>
        <w:t> </w:t>
      </w:r>
      <w:r w:rsidRPr="0006618A">
        <w:rPr>
          <w:rFonts w:eastAsia="Times New Roman" w:cs="Times New Roman"/>
          <w:sz w:val="20"/>
          <w:szCs w:val="20"/>
        </w:rPr>
        <w:t xml:space="preserve">millions d’euros, en baisse de 9,4 % par rapport aux neuf premiers mois de l’année 2013. En ce qui concerne les métiers cœurs, il est en baisse de 10,6 %, à 1 249 millions d’euros. </w:t>
      </w:r>
      <w:r w:rsidR="00520F99">
        <w:rPr>
          <w:rFonts w:eastAsia="Times New Roman" w:cs="Times New Roman"/>
          <w:sz w:val="20"/>
          <w:szCs w:val="20"/>
        </w:rPr>
        <w:t>Il représente 29 points de base</w:t>
      </w:r>
      <w:r w:rsidR="002F237D">
        <w:rPr>
          <w:rFonts w:eastAsia="Times New Roman" w:cs="Times New Roman"/>
          <w:sz w:val="20"/>
          <w:szCs w:val="20"/>
        </w:rPr>
        <w:fldChar w:fldCharType="begin"/>
      </w:r>
      <w:r w:rsidR="002F237D">
        <w:rPr>
          <w:rFonts w:eastAsia="Times New Roman" w:cs="Times New Roman"/>
          <w:sz w:val="20"/>
          <w:szCs w:val="20"/>
        </w:rPr>
        <w:instrText xml:space="preserve"> NOTEREF _Ref402772917 \f \h </w:instrText>
      </w:r>
      <w:r w:rsidR="002F237D">
        <w:rPr>
          <w:rFonts w:eastAsia="Times New Roman" w:cs="Times New Roman"/>
          <w:sz w:val="20"/>
          <w:szCs w:val="20"/>
        </w:rPr>
      </w:r>
      <w:r w:rsidR="002F237D">
        <w:rPr>
          <w:rFonts w:eastAsia="Times New Roman" w:cs="Times New Roman"/>
          <w:sz w:val="20"/>
          <w:szCs w:val="20"/>
        </w:rPr>
        <w:fldChar w:fldCharType="separate"/>
      </w:r>
      <w:r w:rsidR="005D0707" w:rsidRPr="005D0707">
        <w:rPr>
          <w:rStyle w:val="Appelnotedebasdep"/>
        </w:rPr>
        <w:t>9</w:t>
      </w:r>
      <w:r w:rsidR="002F237D">
        <w:rPr>
          <w:rFonts w:eastAsia="Times New Roman" w:cs="Times New Roman"/>
          <w:sz w:val="20"/>
          <w:szCs w:val="20"/>
        </w:rPr>
        <w:fldChar w:fldCharType="end"/>
      </w:r>
      <w:r w:rsidR="00520F99">
        <w:rPr>
          <w:rFonts w:eastAsia="Times New Roman" w:cs="Times New Roman"/>
          <w:sz w:val="20"/>
          <w:szCs w:val="20"/>
        </w:rPr>
        <w:t xml:space="preserve"> contre 34 points de base sur les neuf premiers mois de 2013</w:t>
      </w:r>
      <w:r w:rsidR="00D124E2">
        <w:rPr>
          <w:rFonts w:eastAsia="Times New Roman" w:cs="Times New Roman"/>
          <w:sz w:val="20"/>
          <w:szCs w:val="20"/>
        </w:rPr>
        <w:t>.</w:t>
      </w:r>
    </w:p>
    <w:p w:rsidR="0040460D" w:rsidRPr="00987F8F" w:rsidRDefault="0040460D" w:rsidP="0040460D">
      <w:pPr>
        <w:tabs>
          <w:tab w:val="left" w:pos="426"/>
        </w:tabs>
        <w:spacing w:line="240" w:lineRule="atLeast"/>
        <w:rPr>
          <w:rFonts w:eastAsia="Times New Roman" w:cs="Times New Roman"/>
          <w:color w:val="FF0000"/>
          <w:sz w:val="20"/>
          <w:szCs w:val="20"/>
        </w:rPr>
      </w:pPr>
    </w:p>
    <w:p w:rsidR="0040460D" w:rsidRPr="00546DF0" w:rsidRDefault="0040460D" w:rsidP="0040460D">
      <w:pPr>
        <w:tabs>
          <w:tab w:val="left" w:pos="426"/>
        </w:tabs>
        <w:spacing w:line="240" w:lineRule="atLeast"/>
        <w:rPr>
          <w:rFonts w:eastAsia="Times New Roman" w:cs="Times New Roman"/>
          <w:sz w:val="20"/>
          <w:szCs w:val="20"/>
        </w:rPr>
      </w:pPr>
      <w:r w:rsidRPr="00546DF0">
        <w:rPr>
          <w:rFonts w:eastAsia="Times New Roman" w:cs="Times New Roman"/>
          <w:b/>
          <w:sz w:val="20"/>
          <w:szCs w:val="20"/>
        </w:rPr>
        <w:t>Le résultat avant impôt</w:t>
      </w:r>
      <w:r w:rsidR="00BB2BCF">
        <w:rPr>
          <w:rFonts w:eastAsia="Times New Roman" w:cs="Times New Roman"/>
          <w:b/>
          <w:sz w:val="20"/>
          <w:szCs w:val="20"/>
        </w:rPr>
        <w:fldChar w:fldCharType="begin"/>
      </w:r>
      <w:r>
        <w:rPr>
          <w:rFonts w:eastAsia="Times New Roman" w:cs="Times New Roman"/>
          <w:b/>
          <w:sz w:val="20"/>
          <w:szCs w:val="20"/>
        </w:rPr>
        <w:instrText xml:space="preserve"> NOTEREF _Ref402536240 \f \h </w:instrText>
      </w:r>
      <w:r w:rsidR="00BB2BCF">
        <w:rPr>
          <w:rFonts w:eastAsia="Times New Roman" w:cs="Times New Roman"/>
          <w:b/>
          <w:sz w:val="20"/>
          <w:szCs w:val="20"/>
        </w:rPr>
      </w:r>
      <w:r w:rsidR="00BB2BCF">
        <w:rPr>
          <w:rFonts w:eastAsia="Times New Roman" w:cs="Times New Roman"/>
          <w:b/>
          <w:sz w:val="20"/>
          <w:szCs w:val="20"/>
        </w:rPr>
        <w:fldChar w:fldCharType="separate"/>
      </w:r>
      <w:r w:rsidR="005D0707" w:rsidRPr="005D0707">
        <w:rPr>
          <w:rStyle w:val="Appelnotedebasdep"/>
        </w:rPr>
        <w:t>8</w:t>
      </w:r>
      <w:r w:rsidR="00BB2BCF">
        <w:rPr>
          <w:rFonts w:eastAsia="Times New Roman" w:cs="Times New Roman"/>
          <w:b/>
          <w:sz w:val="20"/>
          <w:szCs w:val="20"/>
        </w:rPr>
        <w:fldChar w:fldCharType="end"/>
      </w:r>
      <w:r w:rsidRPr="00546DF0">
        <w:rPr>
          <w:rFonts w:eastAsia="Times New Roman" w:cs="Times New Roman"/>
          <w:b/>
          <w:sz w:val="20"/>
          <w:szCs w:val="20"/>
        </w:rPr>
        <w:t xml:space="preserve"> </w:t>
      </w:r>
      <w:r w:rsidRPr="00546DF0">
        <w:rPr>
          <w:rFonts w:eastAsia="Times New Roman" w:cs="Times New Roman"/>
          <w:sz w:val="20"/>
          <w:szCs w:val="20"/>
        </w:rPr>
        <w:t>progr</w:t>
      </w:r>
      <w:r w:rsidR="006F4E32">
        <w:rPr>
          <w:rFonts w:eastAsia="Times New Roman" w:cs="Times New Roman"/>
          <w:sz w:val="20"/>
          <w:szCs w:val="20"/>
        </w:rPr>
        <w:t>esse de 13,8 % et s’établit à 4 500 </w:t>
      </w:r>
      <w:r w:rsidRPr="00546DF0">
        <w:rPr>
          <w:rFonts w:eastAsia="Times New Roman" w:cs="Times New Roman"/>
          <w:sz w:val="20"/>
          <w:szCs w:val="20"/>
        </w:rPr>
        <w:t xml:space="preserve">millions d’euros pour les </w:t>
      </w:r>
      <w:r w:rsidR="00535E8D">
        <w:rPr>
          <w:rFonts w:eastAsia="Times New Roman" w:cs="Times New Roman"/>
          <w:sz w:val="20"/>
          <w:szCs w:val="20"/>
        </w:rPr>
        <w:t>neuf</w:t>
      </w:r>
      <w:r w:rsidRPr="00546DF0">
        <w:rPr>
          <w:rFonts w:eastAsia="Times New Roman" w:cs="Times New Roman"/>
          <w:sz w:val="20"/>
          <w:szCs w:val="20"/>
        </w:rPr>
        <w:t xml:space="preserve"> </w:t>
      </w:r>
      <w:r>
        <w:rPr>
          <w:rFonts w:eastAsia="Times New Roman" w:cs="Times New Roman"/>
          <w:sz w:val="20"/>
          <w:szCs w:val="20"/>
        </w:rPr>
        <w:t>premiers mois de l’année 2014. Pour les métiers cœurs, le r</w:t>
      </w:r>
      <w:r w:rsidRPr="00546DF0">
        <w:rPr>
          <w:rFonts w:eastAsia="Times New Roman" w:cs="Times New Roman"/>
          <w:sz w:val="20"/>
          <w:szCs w:val="20"/>
        </w:rPr>
        <w:t>ésult</w:t>
      </w:r>
      <w:r>
        <w:rPr>
          <w:rFonts w:eastAsia="Times New Roman" w:cs="Times New Roman"/>
          <w:sz w:val="20"/>
          <w:szCs w:val="20"/>
        </w:rPr>
        <w:t>at avant impôt ressort à 4 703 millions d’euros, en hauss</w:t>
      </w:r>
      <w:r w:rsidRPr="00546DF0">
        <w:rPr>
          <w:rFonts w:eastAsia="Times New Roman" w:cs="Times New Roman"/>
          <w:sz w:val="20"/>
          <w:szCs w:val="20"/>
        </w:rPr>
        <w:t xml:space="preserve">e </w:t>
      </w:r>
      <w:r>
        <w:rPr>
          <w:rFonts w:eastAsia="Times New Roman" w:cs="Times New Roman"/>
          <w:sz w:val="20"/>
          <w:szCs w:val="20"/>
        </w:rPr>
        <w:t xml:space="preserve">de </w:t>
      </w:r>
      <w:r w:rsidRPr="00546DF0">
        <w:rPr>
          <w:rFonts w:eastAsia="Times New Roman" w:cs="Times New Roman"/>
          <w:sz w:val="20"/>
          <w:szCs w:val="20"/>
        </w:rPr>
        <w:t>12,3</w:t>
      </w:r>
      <w:r>
        <w:rPr>
          <w:rFonts w:eastAsia="Times New Roman" w:cs="Times New Roman"/>
          <w:sz w:val="20"/>
          <w:szCs w:val="20"/>
        </w:rPr>
        <w:t> %</w:t>
      </w:r>
      <w:r w:rsidRPr="00546DF0">
        <w:rPr>
          <w:rFonts w:eastAsia="Times New Roman" w:cs="Times New Roman"/>
          <w:sz w:val="20"/>
          <w:szCs w:val="20"/>
        </w:rPr>
        <w:t>.</w:t>
      </w:r>
    </w:p>
    <w:p w:rsidR="0040460D" w:rsidRPr="00987F8F" w:rsidRDefault="0040460D" w:rsidP="0040460D">
      <w:pPr>
        <w:tabs>
          <w:tab w:val="left" w:pos="426"/>
        </w:tabs>
        <w:spacing w:line="240" w:lineRule="atLeast"/>
        <w:rPr>
          <w:rFonts w:eastAsia="Times New Roman" w:cs="Times New Roman"/>
          <w:color w:val="FF0000"/>
          <w:sz w:val="20"/>
          <w:szCs w:val="20"/>
        </w:rPr>
      </w:pPr>
    </w:p>
    <w:p w:rsidR="0040460D" w:rsidRPr="008849FD" w:rsidRDefault="0040460D" w:rsidP="0040460D">
      <w:pPr>
        <w:tabs>
          <w:tab w:val="left" w:pos="426"/>
        </w:tabs>
        <w:spacing w:line="240" w:lineRule="atLeast"/>
        <w:rPr>
          <w:rFonts w:eastAsia="Times New Roman" w:cs="Times New Roman"/>
          <w:sz w:val="20"/>
          <w:szCs w:val="20"/>
        </w:rPr>
      </w:pPr>
      <w:r w:rsidRPr="00546DF0">
        <w:rPr>
          <w:rFonts w:eastAsia="Times New Roman" w:cs="Times New Roman"/>
          <w:b/>
          <w:sz w:val="20"/>
          <w:szCs w:val="20"/>
        </w:rPr>
        <w:t>Le</w:t>
      </w:r>
      <w:r w:rsidRPr="00546DF0">
        <w:rPr>
          <w:rFonts w:eastAsia="Times New Roman" w:cs="Times New Roman"/>
          <w:sz w:val="20"/>
          <w:szCs w:val="20"/>
        </w:rPr>
        <w:t xml:space="preserve"> </w:t>
      </w:r>
      <w:r w:rsidRPr="00546DF0">
        <w:rPr>
          <w:rFonts w:eastAsia="Times New Roman" w:cs="Times New Roman"/>
          <w:b/>
          <w:bCs/>
          <w:sz w:val="20"/>
          <w:szCs w:val="20"/>
        </w:rPr>
        <w:t xml:space="preserve">résultat net part du groupe </w:t>
      </w:r>
      <w:r w:rsidRPr="00546DF0">
        <w:rPr>
          <w:rFonts w:eastAsia="Times New Roman" w:cs="Times New Roman"/>
          <w:bCs/>
          <w:sz w:val="20"/>
          <w:szCs w:val="20"/>
        </w:rPr>
        <w:t>hors réévaluation de la dette propre</w:t>
      </w:r>
      <w:r w:rsidRPr="00546DF0">
        <w:rPr>
          <w:rFonts w:eastAsia="Times New Roman" w:cs="Times New Roman"/>
          <w:b/>
          <w:bCs/>
          <w:sz w:val="20"/>
          <w:szCs w:val="20"/>
        </w:rPr>
        <w:t xml:space="preserve"> </w:t>
      </w:r>
      <w:r w:rsidRPr="00546DF0">
        <w:rPr>
          <w:rFonts w:eastAsia="Times New Roman" w:cs="Times New Roman"/>
          <w:bCs/>
          <w:sz w:val="20"/>
          <w:szCs w:val="20"/>
        </w:rPr>
        <w:t>s’inscrit en hausse de 8,2 % et</w:t>
      </w:r>
      <w:r w:rsidRPr="00546DF0">
        <w:rPr>
          <w:rFonts w:eastAsia="Times New Roman" w:cs="Times New Roman"/>
          <w:b/>
          <w:bCs/>
          <w:sz w:val="20"/>
          <w:szCs w:val="20"/>
        </w:rPr>
        <w:t xml:space="preserve"> </w:t>
      </w:r>
      <w:r w:rsidRPr="00546DF0">
        <w:rPr>
          <w:rFonts w:eastAsia="Times New Roman" w:cs="Times New Roman"/>
          <w:bCs/>
          <w:sz w:val="20"/>
          <w:szCs w:val="20"/>
        </w:rPr>
        <w:t xml:space="preserve">ressort </w:t>
      </w:r>
      <w:r w:rsidRPr="00546DF0">
        <w:rPr>
          <w:rFonts w:eastAsia="Times New Roman" w:cs="Times New Roman"/>
          <w:sz w:val="20"/>
          <w:szCs w:val="20"/>
        </w:rPr>
        <w:t xml:space="preserve">à </w:t>
      </w:r>
      <w:r w:rsidR="006F4E32">
        <w:rPr>
          <w:rFonts w:eastAsia="Times New Roman" w:cs="Times New Roman"/>
          <w:b/>
          <w:sz w:val="20"/>
          <w:szCs w:val="20"/>
        </w:rPr>
        <w:t>2 </w:t>
      </w:r>
      <w:r w:rsidRPr="00546DF0">
        <w:rPr>
          <w:rFonts w:eastAsia="Times New Roman" w:cs="Times New Roman"/>
          <w:b/>
          <w:sz w:val="20"/>
          <w:szCs w:val="20"/>
        </w:rPr>
        <w:t>504 millions d’euros</w:t>
      </w:r>
      <w:r w:rsidRPr="00546DF0">
        <w:rPr>
          <w:rFonts w:eastAsia="Times New Roman" w:cs="Times New Roman"/>
          <w:sz w:val="20"/>
          <w:szCs w:val="20"/>
        </w:rPr>
        <w:t>.</w:t>
      </w:r>
      <w:r>
        <w:rPr>
          <w:rFonts w:eastAsia="Times New Roman" w:cs="Times New Roman"/>
          <w:sz w:val="20"/>
          <w:szCs w:val="20"/>
        </w:rPr>
        <w:t xml:space="preserve"> En prenant en considération la réévaluation de la dette propre, le</w:t>
      </w:r>
      <w:r w:rsidRPr="008849FD">
        <w:rPr>
          <w:rFonts w:eastAsia="Times New Roman" w:cs="Times New Roman"/>
          <w:sz w:val="20"/>
          <w:szCs w:val="20"/>
        </w:rPr>
        <w:t xml:space="preserve"> </w:t>
      </w:r>
      <w:r w:rsidRPr="0091552D">
        <w:rPr>
          <w:rFonts w:eastAsia="Times New Roman" w:cs="Times New Roman"/>
          <w:bCs/>
          <w:sz w:val="20"/>
          <w:szCs w:val="20"/>
        </w:rPr>
        <w:t xml:space="preserve">résultat net part du groupe </w:t>
      </w:r>
      <w:r w:rsidR="007B2394">
        <w:rPr>
          <w:rFonts w:eastAsia="Times New Roman" w:cs="Times New Roman"/>
          <w:bCs/>
          <w:sz w:val="20"/>
          <w:szCs w:val="20"/>
        </w:rPr>
        <w:t>croît</w:t>
      </w:r>
      <w:r w:rsidRPr="008849FD">
        <w:rPr>
          <w:rFonts w:eastAsia="Times New Roman" w:cs="Times New Roman"/>
          <w:bCs/>
          <w:sz w:val="20"/>
          <w:szCs w:val="20"/>
        </w:rPr>
        <w:t xml:space="preserve"> de 5,7 % et</w:t>
      </w:r>
      <w:r w:rsidRPr="008849FD">
        <w:rPr>
          <w:rFonts w:eastAsia="Times New Roman" w:cs="Times New Roman"/>
          <w:b/>
          <w:bCs/>
          <w:sz w:val="20"/>
          <w:szCs w:val="20"/>
        </w:rPr>
        <w:t xml:space="preserve"> </w:t>
      </w:r>
      <w:r w:rsidR="00065926">
        <w:rPr>
          <w:rFonts w:eastAsia="Times New Roman" w:cs="Times New Roman"/>
          <w:bCs/>
          <w:sz w:val="20"/>
          <w:szCs w:val="20"/>
        </w:rPr>
        <w:t>s’établit</w:t>
      </w:r>
      <w:r w:rsidRPr="008849FD">
        <w:rPr>
          <w:rFonts w:eastAsia="Times New Roman" w:cs="Times New Roman"/>
          <w:bCs/>
          <w:sz w:val="20"/>
          <w:szCs w:val="20"/>
        </w:rPr>
        <w:t xml:space="preserve"> </w:t>
      </w:r>
      <w:r w:rsidR="009341EB">
        <w:rPr>
          <w:rFonts w:eastAsia="Times New Roman" w:cs="Times New Roman"/>
          <w:sz w:val="20"/>
          <w:szCs w:val="20"/>
        </w:rPr>
        <w:t>à 2 384 </w:t>
      </w:r>
      <w:r w:rsidRPr="008849FD">
        <w:rPr>
          <w:rFonts w:eastAsia="Times New Roman" w:cs="Times New Roman"/>
          <w:sz w:val="20"/>
          <w:szCs w:val="20"/>
        </w:rPr>
        <w:t xml:space="preserve">millions  d’euros. </w:t>
      </w:r>
      <w:r w:rsidRPr="008849FD">
        <w:rPr>
          <w:rFonts w:eastAsia="Times New Roman" w:cs="Times New Roman"/>
          <w:b/>
          <w:sz w:val="20"/>
          <w:szCs w:val="20"/>
        </w:rPr>
        <w:t>Le résultat net des métiers cœurs</w:t>
      </w:r>
      <w:r w:rsidR="00BB2BCF">
        <w:rPr>
          <w:rFonts w:eastAsia="Times New Roman" w:cs="Times New Roman"/>
          <w:b/>
          <w:sz w:val="20"/>
          <w:szCs w:val="20"/>
        </w:rPr>
        <w:fldChar w:fldCharType="begin"/>
      </w:r>
      <w:r>
        <w:rPr>
          <w:rFonts w:eastAsia="Times New Roman" w:cs="Times New Roman"/>
          <w:b/>
          <w:sz w:val="20"/>
          <w:szCs w:val="20"/>
        </w:rPr>
        <w:instrText xml:space="preserve"> NOTEREF _Ref402536240 \f \h </w:instrText>
      </w:r>
      <w:r w:rsidR="00BB2BCF">
        <w:rPr>
          <w:rFonts w:eastAsia="Times New Roman" w:cs="Times New Roman"/>
          <w:b/>
          <w:sz w:val="20"/>
          <w:szCs w:val="20"/>
        </w:rPr>
      </w:r>
      <w:r w:rsidR="00BB2BCF">
        <w:rPr>
          <w:rFonts w:eastAsia="Times New Roman" w:cs="Times New Roman"/>
          <w:b/>
          <w:sz w:val="20"/>
          <w:szCs w:val="20"/>
        </w:rPr>
        <w:fldChar w:fldCharType="separate"/>
      </w:r>
      <w:r w:rsidR="005D0707" w:rsidRPr="005D0707">
        <w:rPr>
          <w:rStyle w:val="Appelnotedebasdep"/>
        </w:rPr>
        <w:t>8</w:t>
      </w:r>
      <w:r w:rsidR="00BB2BCF">
        <w:rPr>
          <w:rFonts w:eastAsia="Times New Roman" w:cs="Times New Roman"/>
          <w:b/>
          <w:sz w:val="20"/>
          <w:szCs w:val="20"/>
        </w:rPr>
        <w:fldChar w:fldCharType="end"/>
      </w:r>
      <w:r w:rsidRPr="008849FD">
        <w:rPr>
          <w:rFonts w:eastAsia="Times New Roman" w:cs="Times New Roman"/>
          <w:sz w:val="20"/>
          <w:szCs w:val="20"/>
        </w:rPr>
        <w:t xml:space="preserve"> progre</w:t>
      </w:r>
      <w:r w:rsidR="009341EB">
        <w:rPr>
          <w:rFonts w:eastAsia="Times New Roman" w:cs="Times New Roman"/>
          <w:sz w:val="20"/>
          <w:szCs w:val="20"/>
        </w:rPr>
        <w:t xml:space="preserve">sse de 9,6 % et </w:t>
      </w:r>
      <w:r w:rsidR="00C70704">
        <w:rPr>
          <w:rFonts w:eastAsia="Times New Roman" w:cs="Times New Roman"/>
          <w:sz w:val="20"/>
          <w:szCs w:val="20"/>
        </w:rPr>
        <w:t>atteint</w:t>
      </w:r>
      <w:r w:rsidR="009341EB">
        <w:rPr>
          <w:rFonts w:eastAsia="Times New Roman" w:cs="Times New Roman"/>
          <w:sz w:val="20"/>
          <w:szCs w:val="20"/>
        </w:rPr>
        <w:t> 2 736 </w:t>
      </w:r>
      <w:r w:rsidRPr="008849FD">
        <w:rPr>
          <w:rFonts w:eastAsia="Times New Roman" w:cs="Times New Roman"/>
          <w:sz w:val="20"/>
          <w:szCs w:val="20"/>
        </w:rPr>
        <w:t xml:space="preserve">millions d’euros pour les neuf premiers mois de l’année 2014. </w:t>
      </w:r>
    </w:p>
    <w:p w:rsidR="0040460D" w:rsidRPr="00987F8F" w:rsidRDefault="0040460D" w:rsidP="0040460D">
      <w:pPr>
        <w:tabs>
          <w:tab w:val="left" w:pos="426"/>
        </w:tabs>
        <w:spacing w:line="240" w:lineRule="atLeast"/>
        <w:rPr>
          <w:rFonts w:eastAsia="Times New Roman" w:cs="Times New Roman"/>
          <w:color w:val="FF0000"/>
          <w:sz w:val="20"/>
          <w:szCs w:val="20"/>
        </w:rPr>
      </w:pPr>
    </w:p>
    <w:p w:rsidR="0040460D" w:rsidRDefault="0040460D" w:rsidP="0040460D">
      <w:pPr>
        <w:tabs>
          <w:tab w:val="left" w:pos="426"/>
        </w:tabs>
        <w:spacing w:line="240" w:lineRule="atLeast"/>
        <w:rPr>
          <w:rFonts w:eastAsia="Times New Roman" w:cs="Times New Roman"/>
          <w:sz w:val="20"/>
          <w:szCs w:val="20"/>
        </w:rPr>
      </w:pPr>
      <w:r w:rsidRPr="0091552D">
        <w:rPr>
          <w:rFonts w:eastAsia="Times New Roman" w:cs="Times New Roman"/>
          <w:sz w:val="20"/>
          <w:szCs w:val="20"/>
        </w:rPr>
        <w:t xml:space="preserve">Stable, le </w:t>
      </w:r>
      <w:r w:rsidRPr="0091552D">
        <w:rPr>
          <w:rFonts w:eastAsia="Times New Roman" w:cs="Times New Roman"/>
          <w:b/>
          <w:sz w:val="20"/>
          <w:szCs w:val="20"/>
        </w:rPr>
        <w:t>ROE</w:t>
      </w:r>
      <w:r>
        <w:rPr>
          <w:rFonts w:eastAsia="Times New Roman" w:cs="Times New Roman"/>
          <w:sz w:val="20"/>
          <w:szCs w:val="20"/>
        </w:rPr>
        <w:t xml:space="preserve"> des métiers cœurs ressort à 10</w:t>
      </w:r>
      <w:r w:rsidR="006F4E32">
        <w:rPr>
          <w:rFonts w:eastAsia="Times New Roman" w:cs="Times New Roman"/>
          <w:sz w:val="20"/>
          <w:szCs w:val="20"/>
        </w:rPr>
        <w:t> </w:t>
      </w:r>
      <w:r w:rsidR="00F110F0">
        <w:rPr>
          <w:rFonts w:eastAsia="Times New Roman" w:cs="Times New Roman"/>
          <w:sz w:val="20"/>
          <w:szCs w:val="20"/>
        </w:rPr>
        <w:t xml:space="preserve">%. </w:t>
      </w:r>
      <w:r>
        <w:rPr>
          <w:rFonts w:eastAsia="Times New Roman" w:cs="Times New Roman"/>
          <w:sz w:val="20"/>
          <w:szCs w:val="20"/>
        </w:rPr>
        <w:t>Il est d</w:t>
      </w:r>
      <w:r w:rsidR="00B871D0">
        <w:rPr>
          <w:rFonts w:eastAsia="Times New Roman" w:cs="Times New Roman"/>
          <w:sz w:val="20"/>
          <w:szCs w:val="20"/>
        </w:rPr>
        <w:t>e 6,1</w:t>
      </w:r>
      <w:r w:rsidR="006F4E32">
        <w:rPr>
          <w:rFonts w:eastAsia="Times New Roman" w:cs="Times New Roman"/>
          <w:sz w:val="20"/>
          <w:szCs w:val="20"/>
        </w:rPr>
        <w:t> </w:t>
      </w:r>
      <w:r>
        <w:rPr>
          <w:rFonts w:eastAsia="Times New Roman" w:cs="Times New Roman"/>
          <w:sz w:val="20"/>
          <w:szCs w:val="20"/>
        </w:rPr>
        <w:t>% pour le groupe, en diminution de 0,1 point</w:t>
      </w:r>
      <w:r w:rsidRPr="0091552D">
        <w:rPr>
          <w:rFonts w:eastAsia="Times New Roman" w:cs="Times New Roman"/>
          <w:sz w:val="20"/>
          <w:szCs w:val="20"/>
        </w:rPr>
        <w:t>.</w:t>
      </w:r>
    </w:p>
    <w:p w:rsidR="00D54C02" w:rsidRDefault="00D54C02" w:rsidP="0040460D">
      <w:pPr>
        <w:tabs>
          <w:tab w:val="left" w:pos="426"/>
        </w:tabs>
        <w:spacing w:line="240" w:lineRule="atLeast"/>
        <w:rPr>
          <w:rFonts w:eastAsia="Times New Roman" w:cs="Times New Roman"/>
          <w:sz w:val="20"/>
          <w:szCs w:val="20"/>
        </w:rPr>
      </w:pPr>
    </w:p>
    <w:p w:rsidR="00D54C02" w:rsidRPr="0091552D" w:rsidRDefault="00D54C02" w:rsidP="0040460D">
      <w:pPr>
        <w:tabs>
          <w:tab w:val="left" w:pos="426"/>
        </w:tabs>
        <w:spacing w:line="240" w:lineRule="atLeast"/>
        <w:rPr>
          <w:rFonts w:eastAsia="Times New Roman" w:cs="Times New Roman"/>
          <w:sz w:val="20"/>
          <w:szCs w:val="20"/>
        </w:rPr>
      </w:pPr>
    </w:p>
    <w:p w:rsidR="00D21E6D" w:rsidRPr="00214F3A" w:rsidRDefault="00D21E6D" w:rsidP="00D8707E">
      <w:pPr>
        <w:tabs>
          <w:tab w:val="left" w:pos="426"/>
        </w:tabs>
        <w:spacing w:after="200" w:line="276" w:lineRule="auto"/>
        <w:ind w:left="420" w:hanging="420"/>
        <w:jc w:val="left"/>
        <w:rPr>
          <w:rFonts w:eastAsia="Times New Roman" w:cs="Times New Roman"/>
          <w:b/>
          <w:spacing w:val="-6"/>
        </w:rPr>
      </w:pPr>
      <w:r w:rsidRPr="009C114A">
        <w:rPr>
          <w:rFonts w:eastAsia="Times New Roman" w:cs="Times New Roman"/>
          <w:b/>
          <w:color w:val="E36C0A"/>
          <w:spacing w:val="-6"/>
        </w:rPr>
        <w:t>2.</w:t>
      </w:r>
      <w:r w:rsidR="00D8707E">
        <w:rPr>
          <w:rFonts w:eastAsia="Times New Roman" w:cs="Times New Roman"/>
          <w:b/>
          <w:color w:val="581D74"/>
          <w:spacing w:val="-6"/>
        </w:rPr>
        <w:tab/>
      </w:r>
      <w:r w:rsidRPr="009C114A">
        <w:rPr>
          <w:rFonts w:eastAsia="Times New Roman" w:cs="Times New Roman"/>
          <w:b/>
          <w:color w:val="581D74"/>
          <w:spacing w:val="-6"/>
        </w:rPr>
        <w:t>SOLVABILITÉ ET LIQUIDITÉ</w:t>
      </w:r>
      <w:r w:rsidRPr="009C114A">
        <w:rPr>
          <w:rStyle w:val="Appelnotedebasdep"/>
          <w:rFonts w:eastAsia="Times New Roman" w:cs="Times New Roman"/>
          <w:b/>
          <w:color w:val="581D74"/>
          <w:spacing w:val="-6"/>
        </w:rPr>
        <w:footnoteReference w:id="10"/>
      </w:r>
      <w:r w:rsidRPr="009C114A">
        <w:rPr>
          <w:rFonts w:eastAsia="Times New Roman" w:cs="Times New Roman"/>
          <w:b/>
          <w:color w:val="581D74"/>
          <w:spacing w:val="-6"/>
        </w:rPr>
        <w:t xml:space="preserve"> : </w:t>
      </w:r>
      <w:r w:rsidR="00D8707E">
        <w:rPr>
          <w:rFonts w:eastAsia="Times New Roman" w:cs="Times New Roman"/>
          <w:b/>
          <w:color w:val="581D74"/>
          <w:spacing w:val="-6"/>
        </w:rPr>
        <w:br/>
      </w:r>
      <w:r w:rsidRPr="00D62E78">
        <w:rPr>
          <w:rFonts w:eastAsia="Times New Roman" w:cs="Times New Roman"/>
          <w:b/>
          <w:color w:val="581D74" w:themeColor="accent1"/>
        </w:rPr>
        <w:t>FORT ACCROISSEMENT DE LA SOLVABILIT</w:t>
      </w:r>
      <w:r w:rsidR="006F4E32" w:rsidRPr="009C114A">
        <w:rPr>
          <w:rFonts w:eastAsia="Times New Roman" w:cs="Times New Roman"/>
          <w:b/>
          <w:color w:val="581D74"/>
          <w:spacing w:val="-6"/>
        </w:rPr>
        <w:t>É</w:t>
      </w:r>
      <w:r w:rsidRPr="00D62E78">
        <w:rPr>
          <w:rFonts w:eastAsia="Times New Roman" w:cs="Times New Roman"/>
          <w:b/>
          <w:color w:val="581D74" w:themeColor="accent1"/>
        </w:rPr>
        <w:t xml:space="preserve"> EN 2014</w:t>
      </w:r>
    </w:p>
    <w:p w:rsidR="00D21E6D" w:rsidRPr="00FD1221" w:rsidRDefault="00D21E6D" w:rsidP="00D21E6D">
      <w:pPr>
        <w:tabs>
          <w:tab w:val="left" w:pos="426"/>
        </w:tabs>
        <w:spacing w:line="240" w:lineRule="atLeast"/>
        <w:rPr>
          <w:rFonts w:eastAsia="Times New Roman" w:cs="Times New Roman"/>
          <w:smallCaps/>
          <w:color w:val="581D74"/>
          <w:sz w:val="20"/>
          <w:szCs w:val="20"/>
          <w:highlight w:val="yellow"/>
        </w:rPr>
      </w:pPr>
    </w:p>
    <w:p w:rsidR="00D21E6D" w:rsidRPr="00FD1221" w:rsidRDefault="00D21E6D" w:rsidP="00D21E6D">
      <w:pPr>
        <w:tabs>
          <w:tab w:val="left" w:pos="360"/>
          <w:tab w:val="left" w:pos="426"/>
        </w:tabs>
        <w:jc w:val="left"/>
        <w:rPr>
          <w:rFonts w:eastAsia="Times New Roman" w:cs="Verdana,Bold"/>
          <w:b/>
          <w:bCs/>
          <w:smallCaps/>
          <w:color w:val="581D74"/>
          <w:sz w:val="20"/>
          <w:szCs w:val="20"/>
        </w:rPr>
      </w:pPr>
      <w:r w:rsidRPr="00FD1221">
        <w:rPr>
          <w:rFonts w:eastAsia="Times New Roman" w:cs="Times New Roman"/>
          <w:b/>
          <w:color w:val="E36C0A"/>
          <w:spacing w:val="-6"/>
          <w:sz w:val="20"/>
          <w:szCs w:val="20"/>
        </w:rPr>
        <w:t>2.1</w:t>
      </w:r>
      <w:r w:rsidRPr="00FD1221">
        <w:rPr>
          <w:rFonts w:eastAsia="Times New Roman" w:cs="Times New Roman"/>
          <w:b/>
          <w:sz w:val="20"/>
          <w:szCs w:val="20"/>
        </w:rPr>
        <w:tab/>
      </w:r>
      <w:r w:rsidRPr="00FD1221">
        <w:rPr>
          <w:rFonts w:eastAsia="Times New Roman" w:cs="Times New Roman"/>
          <w:b/>
          <w:sz w:val="20"/>
          <w:szCs w:val="20"/>
        </w:rPr>
        <w:tab/>
      </w:r>
      <w:r w:rsidRPr="00FD1221">
        <w:rPr>
          <w:rFonts w:eastAsia="Times New Roman" w:cs="Verdana,Bold"/>
          <w:b/>
          <w:bCs/>
          <w:color w:val="581D74"/>
          <w:sz w:val="20"/>
          <w:szCs w:val="20"/>
        </w:rPr>
        <w:t xml:space="preserve">Solvabilité </w:t>
      </w:r>
      <w:r>
        <w:rPr>
          <w:rFonts w:eastAsia="Times New Roman" w:cs="Verdana,Bold"/>
          <w:b/>
          <w:bCs/>
          <w:color w:val="581D74"/>
          <w:sz w:val="20"/>
          <w:szCs w:val="20"/>
        </w:rPr>
        <w:t>renforcée</w:t>
      </w:r>
    </w:p>
    <w:p w:rsidR="00D21E6D" w:rsidRDefault="00D21E6D" w:rsidP="00D21E6D">
      <w:pPr>
        <w:tabs>
          <w:tab w:val="left" w:pos="426"/>
        </w:tabs>
        <w:autoSpaceDE w:val="0"/>
        <w:autoSpaceDN w:val="0"/>
        <w:adjustRightInd w:val="0"/>
        <w:rPr>
          <w:rFonts w:eastAsia="Times New Roman" w:cs="Verdana"/>
          <w:sz w:val="20"/>
          <w:szCs w:val="20"/>
        </w:rPr>
      </w:pPr>
      <w:r>
        <w:rPr>
          <w:rFonts w:eastAsia="Times New Roman" w:cs="Verdana"/>
          <w:sz w:val="20"/>
          <w:szCs w:val="20"/>
        </w:rPr>
        <w:br/>
      </w:r>
      <w:r w:rsidRPr="00ED2AD0">
        <w:rPr>
          <w:rFonts w:eastAsia="Times New Roman" w:cs="Verdana"/>
          <w:sz w:val="20"/>
          <w:szCs w:val="20"/>
        </w:rPr>
        <w:t xml:space="preserve">La solvabilité du Groupe BPCE est en augmentation significative au troisième trimestre 2014, avec un ratio de Common </w:t>
      </w:r>
      <w:proofErr w:type="spellStart"/>
      <w:r w:rsidRPr="00ED2AD0">
        <w:rPr>
          <w:rFonts w:eastAsia="Times New Roman" w:cs="Verdana"/>
          <w:sz w:val="20"/>
          <w:szCs w:val="20"/>
        </w:rPr>
        <w:t>Equity</w:t>
      </w:r>
      <w:proofErr w:type="spellEnd"/>
      <w:r w:rsidRPr="00ED2AD0">
        <w:rPr>
          <w:rFonts w:eastAsia="Times New Roman" w:cs="Verdana"/>
          <w:sz w:val="20"/>
          <w:szCs w:val="20"/>
        </w:rPr>
        <w:t xml:space="preserve"> </w:t>
      </w:r>
      <w:proofErr w:type="spellStart"/>
      <w:r w:rsidRPr="00ED2AD0">
        <w:rPr>
          <w:rFonts w:eastAsia="Times New Roman" w:cs="Verdana"/>
          <w:sz w:val="20"/>
          <w:szCs w:val="20"/>
        </w:rPr>
        <w:t>Tier</w:t>
      </w:r>
      <w:proofErr w:type="spellEnd"/>
      <w:r w:rsidRPr="00ED2AD0">
        <w:rPr>
          <w:rFonts w:eastAsia="Times New Roman" w:cs="Verdana"/>
          <w:sz w:val="20"/>
          <w:szCs w:val="20"/>
        </w:rPr>
        <w:t xml:space="preserve"> 1 </w:t>
      </w:r>
      <w:r w:rsidR="006D010D">
        <w:rPr>
          <w:rFonts w:eastAsia="Times New Roman" w:cs="Verdana"/>
          <w:sz w:val="20"/>
          <w:szCs w:val="20"/>
        </w:rPr>
        <w:t xml:space="preserve">(CET 1) </w:t>
      </w:r>
      <w:r w:rsidRPr="00ED2AD0">
        <w:rPr>
          <w:rFonts w:eastAsia="Times New Roman" w:cs="Verdana"/>
          <w:sz w:val="20"/>
          <w:szCs w:val="20"/>
        </w:rPr>
        <w:t>Bâle 3</w:t>
      </w:r>
      <w:bookmarkStart w:id="7" w:name="_Ref394484939"/>
      <w:r w:rsidRPr="00ED2AD0">
        <w:rPr>
          <w:rStyle w:val="Appelnotedebasdep"/>
          <w:rFonts w:eastAsia="Times New Roman" w:cs="Verdana"/>
          <w:sz w:val="20"/>
          <w:szCs w:val="20"/>
        </w:rPr>
        <w:footnoteReference w:id="11"/>
      </w:r>
      <w:bookmarkEnd w:id="7"/>
      <w:r w:rsidRPr="00ED2AD0">
        <w:rPr>
          <w:rFonts w:eastAsia="Times New Roman" w:cs="Verdana"/>
          <w:sz w:val="20"/>
          <w:szCs w:val="20"/>
          <w:vertAlign w:val="superscript"/>
        </w:rPr>
        <w:t xml:space="preserve"> </w:t>
      </w:r>
      <w:r w:rsidRPr="00ED2AD0">
        <w:rPr>
          <w:rFonts w:eastAsia="Times New Roman" w:cs="Verdana"/>
          <w:sz w:val="20"/>
          <w:szCs w:val="20"/>
        </w:rPr>
        <w:t>de 11,5</w:t>
      </w:r>
      <w:r>
        <w:rPr>
          <w:rFonts w:eastAsia="Times New Roman" w:cs="Verdana"/>
          <w:sz w:val="20"/>
          <w:szCs w:val="20"/>
        </w:rPr>
        <w:t xml:space="preserve"> %, </w:t>
      </w:r>
      <w:r w:rsidRPr="00ED2AD0">
        <w:rPr>
          <w:rFonts w:eastAsia="Times New Roman" w:cs="Verdana"/>
          <w:sz w:val="20"/>
          <w:szCs w:val="20"/>
        </w:rPr>
        <w:t>au 30 septembre 2014, en amélioration de 40 points de base par rapport au 30 juin 2014.</w:t>
      </w:r>
      <w:r w:rsidR="003212D0">
        <w:rPr>
          <w:rFonts w:eastAsia="Times New Roman" w:cs="Verdana"/>
          <w:sz w:val="20"/>
          <w:szCs w:val="20"/>
        </w:rPr>
        <w:t xml:space="preserve"> </w:t>
      </w:r>
      <w:r>
        <w:rPr>
          <w:rFonts w:eastAsia="Times New Roman" w:cs="Verdana"/>
          <w:sz w:val="20"/>
          <w:szCs w:val="20"/>
        </w:rPr>
        <w:t>Au 31 décemb</w:t>
      </w:r>
      <w:r w:rsidR="006F4E32">
        <w:rPr>
          <w:rFonts w:eastAsia="Times New Roman" w:cs="Verdana"/>
          <w:sz w:val="20"/>
          <w:szCs w:val="20"/>
        </w:rPr>
        <w:t>re 2013, ce ratio était de 10,4 </w:t>
      </w:r>
      <w:r>
        <w:rPr>
          <w:rFonts w:eastAsia="Times New Roman" w:cs="Verdana"/>
          <w:sz w:val="20"/>
          <w:szCs w:val="20"/>
        </w:rPr>
        <w:t xml:space="preserve">% </w:t>
      </w:r>
      <w:r w:rsidR="00E44486">
        <w:rPr>
          <w:rFonts w:eastAsia="Times New Roman" w:cs="Verdana"/>
          <w:sz w:val="20"/>
          <w:szCs w:val="20"/>
        </w:rPr>
        <w:t xml:space="preserve">et a </w:t>
      </w:r>
      <w:r w:rsidR="00036B13">
        <w:rPr>
          <w:rFonts w:eastAsia="Times New Roman" w:cs="Verdana"/>
          <w:sz w:val="20"/>
          <w:szCs w:val="20"/>
        </w:rPr>
        <w:t xml:space="preserve">donc </w:t>
      </w:r>
      <w:r w:rsidR="00E44486">
        <w:rPr>
          <w:rFonts w:eastAsia="Times New Roman" w:cs="Verdana"/>
          <w:sz w:val="20"/>
          <w:szCs w:val="20"/>
        </w:rPr>
        <w:t>progressé</w:t>
      </w:r>
      <w:r>
        <w:rPr>
          <w:rFonts w:eastAsia="Times New Roman" w:cs="Verdana"/>
          <w:sz w:val="20"/>
          <w:szCs w:val="20"/>
        </w:rPr>
        <w:t xml:space="preserve"> de 110 points de base</w:t>
      </w:r>
      <w:r w:rsidR="00E44486">
        <w:rPr>
          <w:rFonts w:eastAsia="Times New Roman" w:cs="Verdana"/>
          <w:sz w:val="20"/>
          <w:szCs w:val="20"/>
        </w:rPr>
        <w:t xml:space="preserve"> sur 9</w:t>
      </w:r>
      <w:r w:rsidR="006D010D">
        <w:rPr>
          <w:rFonts w:eastAsia="Times New Roman" w:cs="Verdana"/>
          <w:sz w:val="20"/>
          <w:szCs w:val="20"/>
        </w:rPr>
        <w:t> </w:t>
      </w:r>
      <w:r w:rsidR="00E44486">
        <w:rPr>
          <w:rFonts w:eastAsia="Times New Roman" w:cs="Verdana"/>
          <w:sz w:val="20"/>
          <w:szCs w:val="20"/>
        </w:rPr>
        <w:t>mois</w:t>
      </w:r>
      <w:r>
        <w:rPr>
          <w:rFonts w:eastAsia="Times New Roman" w:cs="Verdana"/>
          <w:sz w:val="20"/>
          <w:szCs w:val="20"/>
        </w:rPr>
        <w:t>.</w:t>
      </w:r>
    </w:p>
    <w:p w:rsidR="00D21E6D" w:rsidRPr="00A52285" w:rsidRDefault="00D21E6D" w:rsidP="00D21E6D">
      <w:pPr>
        <w:tabs>
          <w:tab w:val="left" w:pos="426"/>
        </w:tabs>
        <w:autoSpaceDE w:val="0"/>
        <w:autoSpaceDN w:val="0"/>
        <w:adjustRightInd w:val="0"/>
        <w:rPr>
          <w:rFonts w:eastAsia="Times New Roman" w:cs="Verdana"/>
          <w:color w:val="FF0000"/>
          <w:sz w:val="12"/>
          <w:szCs w:val="20"/>
        </w:rPr>
      </w:pPr>
    </w:p>
    <w:p w:rsidR="00036B13" w:rsidRDefault="00D21E6D" w:rsidP="00036B13">
      <w:pPr>
        <w:tabs>
          <w:tab w:val="left" w:pos="426"/>
        </w:tabs>
        <w:autoSpaceDE w:val="0"/>
        <w:autoSpaceDN w:val="0"/>
        <w:adjustRightInd w:val="0"/>
        <w:rPr>
          <w:rFonts w:eastAsia="Times New Roman" w:cs="Verdana"/>
          <w:sz w:val="20"/>
          <w:szCs w:val="20"/>
        </w:rPr>
      </w:pPr>
      <w:r w:rsidRPr="00ED2AD0">
        <w:rPr>
          <w:rFonts w:eastAsia="Times New Roman" w:cs="Verdana"/>
          <w:bCs/>
          <w:sz w:val="20"/>
          <w:szCs w:val="20"/>
        </w:rPr>
        <w:t>Le groupe présente un ratio de solvabilité</w:t>
      </w:r>
      <w:r w:rsidRPr="00ED2AD0">
        <w:rPr>
          <w:rFonts w:eastAsia="Times New Roman" w:cs="Verdana"/>
          <w:sz w:val="20"/>
          <w:szCs w:val="20"/>
          <w:vertAlign w:val="superscript"/>
        </w:rPr>
        <w:t xml:space="preserve"> </w:t>
      </w:r>
      <w:r w:rsidRPr="00ED2AD0">
        <w:rPr>
          <w:rFonts w:eastAsia="Times New Roman" w:cs="Verdana"/>
          <w:bCs/>
          <w:sz w:val="20"/>
          <w:szCs w:val="20"/>
        </w:rPr>
        <w:t>global</w:t>
      </w:r>
      <w:bookmarkStart w:id="8" w:name="_Ref394400651"/>
      <w:r w:rsidR="00BB2BCF" w:rsidRPr="00ED2AD0">
        <w:rPr>
          <w:rFonts w:eastAsia="Times New Roman" w:cs="Verdana"/>
          <w:bCs/>
          <w:sz w:val="20"/>
          <w:szCs w:val="20"/>
          <w:vertAlign w:val="superscript"/>
        </w:rPr>
        <w:fldChar w:fldCharType="begin"/>
      </w:r>
      <w:r w:rsidRPr="00ED2AD0">
        <w:rPr>
          <w:rFonts w:eastAsia="Times New Roman" w:cs="Verdana"/>
          <w:bCs/>
          <w:sz w:val="20"/>
          <w:szCs w:val="20"/>
          <w:vertAlign w:val="superscript"/>
        </w:rPr>
        <w:instrText xml:space="preserve"> NOTEREF _Ref394484939 \h  \* MERGEFORMAT </w:instrText>
      </w:r>
      <w:r w:rsidR="00BB2BCF" w:rsidRPr="00ED2AD0">
        <w:rPr>
          <w:rFonts w:eastAsia="Times New Roman" w:cs="Verdana"/>
          <w:bCs/>
          <w:sz w:val="20"/>
          <w:szCs w:val="20"/>
          <w:vertAlign w:val="superscript"/>
        </w:rPr>
      </w:r>
      <w:r w:rsidR="00BB2BCF" w:rsidRPr="00ED2AD0">
        <w:rPr>
          <w:rFonts w:eastAsia="Times New Roman" w:cs="Verdana"/>
          <w:bCs/>
          <w:sz w:val="20"/>
          <w:szCs w:val="20"/>
          <w:vertAlign w:val="superscript"/>
        </w:rPr>
        <w:fldChar w:fldCharType="separate"/>
      </w:r>
      <w:r w:rsidR="005D0707">
        <w:rPr>
          <w:rFonts w:eastAsia="Times New Roman" w:cs="Verdana"/>
          <w:bCs/>
          <w:sz w:val="20"/>
          <w:szCs w:val="20"/>
          <w:vertAlign w:val="superscript"/>
        </w:rPr>
        <w:t>11</w:t>
      </w:r>
      <w:r w:rsidR="00BB2BCF" w:rsidRPr="00ED2AD0">
        <w:rPr>
          <w:rFonts w:eastAsia="Times New Roman" w:cs="Verdana"/>
          <w:bCs/>
          <w:sz w:val="20"/>
          <w:szCs w:val="20"/>
          <w:vertAlign w:val="superscript"/>
        </w:rPr>
        <w:fldChar w:fldCharType="end"/>
      </w:r>
      <w:bookmarkEnd w:id="8"/>
      <w:r w:rsidRPr="00ED2AD0">
        <w:rPr>
          <w:rFonts w:eastAsia="Times New Roman" w:cs="Verdana"/>
          <w:bCs/>
          <w:sz w:val="20"/>
          <w:szCs w:val="20"/>
        </w:rPr>
        <w:t xml:space="preserve"> de 15,0 %, en augmentation de 50 points de base par rapport au 30 juin 2014.</w:t>
      </w:r>
      <w:r w:rsidR="003212D0">
        <w:rPr>
          <w:rFonts w:eastAsia="Times New Roman" w:cs="Verdana"/>
          <w:sz w:val="20"/>
          <w:szCs w:val="20"/>
        </w:rPr>
        <w:t xml:space="preserve"> </w:t>
      </w:r>
      <w:r w:rsidR="00036B13">
        <w:rPr>
          <w:rFonts w:eastAsia="Times New Roman" w:cs="Verdana"/>
          <w:sz w:val="20"/>
          <w:szCs w:val="20"/>
        </w:rPr>
        <w:t>Au 31 décembre 2013, ce ratio était de 13,1 % et a donc progressé de 190 points de base sur 9 mois.</w:t>
      </w:r>
    </w:p>
    <w:p w:rsidR="00D21E6D" w:rsidRPr="00A52285" w:rsidRDefault="00D21E6D" w:rsidP="00D21E6D">
      <w:pPr>
        <w:tabs>
          <w:tab w:val="left" w:pos="426"/>
        </w:tabs>
        <w:autoSpaceDE w:val="0"/>
        <w:autoSpaceDN w:val="0"/>
        <w:adjustRightInd w:val="0"/>
        <w:rPr>
          <w:rFonts w:eastAsia="Times New Roman" w:cs="Verdana"/>
          <w:bCs/>
          <w:color w:val="FF0000"/>
          <w:sz w:val="12"/>
          <w:szCs w:val="20"/>
        </w:rPr>
      </w:pPr>
    </w:p>
    <w:p w:rsidR="00D21E6D" w:rsidRPr="00AA4F3D" w:rsidRDefault="00D21E6D" w:rsidP="00D21E6D">
      <w:pPr>
        <w:tabs>
          <w:tab w:val="left" w:pos="426"/>
        </w:tabs>
        <w:autoSpaceDE w:val="0"/>
        <w:autoSpaceDN w:val="0"/>
        <w:adjustRightInd w:val="0"/>
        <w:rPr>
          <w:rFonts w:eastAsia="Times New Roman" w:cs="Verdana"/>
          <w:bCs/>
          <w:sz w:val="20"/>
          <w:szCs w:val="20"/>
        </w:rPr>
      </w:pPr>
      <w:r w:rsidRPr="00AA4F3D">
        <w:rPr>
          <w:rFonts w:eastAsia="Times New Roman" w:cs="Verdana"/>
          <w:bCs/>
          <w:sz w:val="20"/>
          <w:szCs w:val="20"/>
        </w:rPr>
        <w:t>Le groupe affiche un ratio de levier Bâle 3</w:t>
      </w:r>
      <w:r w:rsidRPr="00AA4F3D">
        <w:rPr>
          <w:rStyle w:val="Appelnotedebasdep"/>
          <w:rFonts w:eastAsia="Times New Roman" w:cs="Verdana"/>
          <w:bCs/>
          <w:sz w:val="20"/>
          <w:szCs w:val="20"/>
        </w:rPr>
        <w:footnoteReference w:id="12"/>
      </w:r>
      <w:r w:rsidRPr="00AA4F3D">
        <w:rPr>
          <w:rFonts w:eastAsia="Times New Roman" w:cs="Verdana"/>
          <w:bCs/>
          <w:sz w:val="20"/>
          <w:szCs w:val="20"/>
        </w:rPr>
        <w:t xml:space="preserve"> </w:t>
      </w:r>
      <w:r>
        <w:rPr>
          <w:rFonts w:eastAsia="Times New Roman" w:cs="Verdana"/>
          <w:bCs/>
          <w:sz w:val="20"/>
          <w:szCs w:val="20"/>
        </w:rPr>
        <w:t xml:space="preserve">de </w:t>
      </w:r>
      <w:r w:rsidRPr="00AA4F3D">
        <w:rPr>
          <w:rFonts w:eastAsia="Times New Roman" w:cs="Verdana"/>
          <w:bCs/>
          <w:sz w:val="20"/>
          <w:szCs w:val="20"/>
        </w:rPr>
        <w:t>4</w:t>
      </w:r>
      <w:r>
        <w:rPr>
          <w:rFonts w:eastAsia="Times New Roman" w:cs="Verdana"/>
          <w:bCs/>
          <w:sz w:val="20"/>
          <w:szCs w:val="20"/>
        </w:rPr>
        <w:t>,5 % au 30/09</w:t>
      </w:r>
      <w:r w:rsidRPr="00AA4F3D">
        <w:rPr>
          <w:rFonts w:eastAsia="Times New Roman" w:cs="Verdana"/>
          <w:bCs/>
          <w:sz w:val="20"/>
          <w:szCs w:val="20"/>
        </w:rPr>
        <w:t>/2014.</w:t>
      </w:r>
    </w:p>
    <w:p w:rsidR="00D21E6D" w:rsidRPr="004A07A9" w:rsidRDefault="00D21E6D" w:rsidP="00D21E6D">
      <w:pPr>
        <w:tabs>
          <w:tab w:val="left" w:pos="426"/>
        </w:tabs>
        <w:autoSpaceDE w:val="0"/>
        <w:autoSpaceDN w:val="0"/>
        <w:adjustRightInd w:val="0"/>
        <w:rPr>
          <w:rFonts w:eastAsia="Times New Roman" w:cs="Verdana"/>
          <w:bCs/>
          <w:sz w:val="20"/>
          <w:szCs w:val="20"/>
        </w:rPr>
      </w:pPr>
    </w:p>
    <w:p w:rsidR="00D21E6D" w:rsidRPr="00FD1221" w:rsidRDefault="00D21E6D" w:rsidP="00D21E6D">
      <w:pPr>
        <w:tabs>
          <w:tab w:val="left" w:pos="426"/>
        </w:tabs>
        <w:autoSpaceDE w:val="0"/>
        <w:autoSpaceDN w:val="0"/>
        <w:adjustRightInd w:val="0"/>
        <w:rPr>
          <w:rFonts w:eastAsia="Times New Roman" w:cs="Verdana"/>
          <w:bCs/>
          <w:sz w:val="20"/>
          <w:szCs w:val="20"/>
        </w:rPr>
      </w:pPr>
    </w:p>
    <w:p w:rsidR="00D21E6D" w:rsidRPr="00A52285" w:rsidRDefault="00D21E6D" w:rsidP="00D21E6D">
      <w:pPr>
        <w:tabs>
          <w:tab w:val="left" w:pos="426"/>
        </w:tabs>
        <w:jc w:val="left"/>
        <w:rPr>
          <w:rFonts w:eastAsia="Times New Roman" w:cs="Verdana,Bold"/>
          <w:b/>
          <w:bCs/>
          <w:smallCaps/>
          <w:color w:val="FF0000"/>
          <w:sz w:val="20"/>
          <w:szCs w:val="20"/>
        </w:rPr>
      </w:pPr>
      <w:r w:rsidRPr="00FD1221">
        <w:rPr>
          <w:rFonts w:eastAsia="Times New Roman" w:cs="Times New Roman"/>
          <w:b/>
          <w:color w:val="E36C0A"/>
          <w:spacing w:val="-6"/>
          <w:sz w:val="20"/>
          <w:szCs w:val="20"/>
        </w:rPr>
        <w:t>2.2</w:t>
      </w:r>
      <w:r w:rsidRPr="00D06130">
        <w:rPr>
          <w:rFonts w:eastAsia="Times New Roman" w:cs="Times New Roman"/>
          <w:b/>
          <w:color w:val="581D74" w:themeColor="accent1"/>
          <w:sz w:val="20"/>
          <w:szCs w:val="20"/>
        </w:rPr>
        <w:tab/>
      </w:r>
      <w:r w:rsidR="006D010D">
        <w:rPr>
          <w:rFonts w:eastAsia="Times New Roman" w:cs="Verdana,Bold"/>
          <w:b/>
          <w:bCs/>
          <w:color w:val="581D74" w:themeColor="accent1"/>
          <w:sz w:val="20"/>
          <w:szCs w:val="20"/>
        </w:rPr>
        <w:t xml:space="preserve"> R</w:t>
      </w:r>
      <w:r w:rsidRPr="00D06130">
        <w:rPr>
          <w:rFonts w:eastAsia="Times New Roman" w:cs="Verdana,Bold"/>
          <w:b/>
          <w:bCs/>
          <w:color w:val="581D74" w:themeColor="accent1"/>
          <w:sz w:val="20"/>
          <w:szCs w:val="20"/>
        </w:rPr>
        <w:t>enforcement continu de la structure de bilan</w:t>
      </w:r>
    </w:p>
    <w:p w:rsidR="00D21E6D" w:rsidRPr="00FD1221" w:rsidRDefault="00D21E6D" w:rsidP="00D21E6D">
      <w:pPr>
        <w:tabs>
          <w:tab w:val="left" w:pos="360"/>
          <w:tab w:val="left" w:pos="426"/>
        </w:tabs>
        <w:jc w:val="left"/>
        <w:rPr>
          <w:rFonts w:eastAsia="Times New Roman" w:cs="Verdana,Bold"/>
          <w:b/>
          <w:bCs/>
          <w:smallCaps/>
          <w:color w:val="581D74"/>
          <w:sz w:val="20"/>
          <w:szCs w:val="20"/>
        </w:rPr>
      </w:pPr>
    </w:p>
    <w:p w:rsidR="00D21E6D" w:rsidRPr="00A63CC7" w:rsidRDefault="00D21E6D" w:rsidP="00D21E6D">
      <w:pPr>
        <w:tabs>
          <w:tab w:val="left" w:pos="360"/>
          <w:tab w:val="left" w:pos="426"/>
        </w:tabs>
        <w:rPr>
          <w:rFonts w:eastAsia="Times New Roman" w:cs="Times New Roman"/>
          <w:sz w:val="20"/>
          <w:szCs w:val="20"/>
        </w:rPr>
      </w:pPr>
      <w:r w:rsidRPr="00A63CC7">
        <w:rPr>
          <w:rFonts w:eastAsia="Times New Roman" w:cs="Times New Roman"/>
          <w:sz w:val="20"/>
          <w:szCs w:val="20"/>
        </w:rPr>
        <w:t>Les réserves de liquidité couvrent 161 % des encours de refinancement</w:t>
      </w:r>
      <w:r w:rsidR="006F4E32">
        <w:rPr>
          <w:rFonts w:eastAsia="Times New Roman" w:cs="Times New Roman"/>
          <w:sz w:val="20"/>
          <w:szCs w:val="20"/>
        </w:rPr>
        <w:t xml:space="preserve"> court terme et s’élèvent à 168 </w:t>
      </w:r>
      <w:r w:rsidRPr="00A63CC7">
        <w:rPr>
          <w:rFonts w:eastAsia="Times New Roman" w:cs="Times New Roman"/>
          <w:sz w:val="20"/>
          <w:szCs w:val="20"/>
        </w:rPr>
        <w:t>milliards d’euros</w:t>
      </w:r>
      <w:r w:rsidR="006F4E32">
        <w:rPr>
          <w:rFonts w:eastAsia="Times New Roman" w:cs="Times New Roman"/>
          <w:sz w:val="20"/>
          <w:szCs w:val="20"/>
        </w:rPr>
        <w:t xml:space="preserve"> à fin septembre 2014, dont 119</w:t>
      </w:r>
      <w:r w:rsidRPr="00A63CC7">
        <w:rPr>
          <w:rFonts w:eastAsia="Times New Roman" w:cs="Times New Roman"/>
          <w:sz w:val="20"/>
          <w:szCs w:val="20"/>
        </w:rPr>
        <w:t xml:space="preserve"> milliards d’euros d’actifs disponibles éligibles au refinancement banques centrales et 49 milliards d’euros de liquidités placées auprès des banques centrales. </w:t>
      </w:r>
    </w:p>
    <w:p w:rsidR="00D21E6D" w:rsidRPr="00A52285" w:rsidRDefault="00D21E6D" w:rsidP="00D21E6D">
      <w:pPr>
        <w:tabs>
          <w:tab w:val="left" w:pos="360"/>
          <w:tab w:val="left" w:pos="426"/>
        </w:tabs>
        <w:rPr>
          <w:rFonts w:eastAsia="Times New Roman" w:cs="Times New Roman"/>
          <w:color w:val="FF0000"/>
          <w:sz w:val="20"/>
          <w:szCs w:val="20"/>
        </w:rPr>
      </w:pPr>
      <w:r w:rsidRPr="00A63CC7">
        <w:rPr>
          <w:rFonts w:eastAsia="Times New Roman" w:cs="Times New Roman"/>
          <w:sz w:val="20"/>
          <w:szCs w:val="20"/>
        </w:rPr>
        <w:t>Le coefficient emplois/ressources clientèle du Groupe BPCE</w:t>
      </w:r>
      <w:bookmarkStart w:id="9" w:name="_Ref380166801"/>
      <w:r w:rsidRPr="00A63CC7">
        <w:rPr>
          <w:rStyle w:val="Appelnotedebasdep"/>
          <w:rFonts w:cs="Verdana"/>
          <w:bCs/>
          <w:sz w:val="20"/>
          <w:szCs w:val="20"/>
        </w:rPr>
        <w:footnoteReference w:id="13"/>
      </w:r>
      <w:bookmarkEnd w:id="9"/>
      <w:r w:rsidR="00D8707E">
        <w:rPr>
          <w:rFonts w:eastAsia="Times New Roman" w:cs="Times New Roman"/>
          <w:sz w:val="20"/>
          <w:szCs w:val="20"/>
        </w:rPr>
        <w:t xml:space="preserve"> ressort à 125 % au 30 septembre </w:t>
      </w:r>
      <w:r w:rsidRPr="00A63CC7">
        <w:rPr>
          <w:rFonts w:eastAsia="Times New Roman" w:cs="Times New Roman"/>
          <w:sz w:val="20"/>
          <w:szCs w:val="20"/>
        </w:rPr>
        <w:t xml:space="preserve">2014. </w:t>
      </w:r>
    </w:p>
    <w:p w:rsidR="00D21E6D" w:rsidRPr="00A52285" w:rsidRDefault="00D21E6D" w:rsidP="00D21E6D">
      <w:pPr>
        <w:tabs>
          <w:tab w:val="left" w:pos="360"/>
          <w:tab w:val="left" w:pos="426"/>
        </w:tabs>
        <w:rPr>
          <w:rFonts w:eastAsia="Times New Roman" w:cs="Times New Roman"/>
          <w:color w:val="FF0000"/>
          <w:sz w:val="12"/>
          <w:szCs w:val="20"/>
        </w:rPr>
      </w:pPr>
    </w:p>
    <w:p w:rsidR="00D21E6D" w:rsidRPr="009A2219" w:rsidRDefault="00D21E6D" w:rsidP="00D21E6D">
      <w:pPr>
        <w:tabs>
          <w:tab w:val="left" w:pos="360"/>
          <w:tab w:val="left" w:pos="426"/>
        </w:tabs>
        <w:rPr>
          <w:rFonts w:eastAsia="Times New Roman" w:cs="Times New Roman"/>
          <w:sz w:val="20"/>
          <w:szCs w:val="20"/>
          <w:highlight w:val="yellow"/>
        </w:rPr>
      </w:pPr>
      <w:r w:rsidRPr="009A2219">
        <w:rPr>
          <w:rFonts w:eastAsia="Times New Roman" w:cs="Times New Roman"/>
          <w:sz w:val="20"/>
          <w:szCs w:val="20"/>
        </w:rPr>
        <w:t xml:space="preserve">Le </w:t>
      </w:r>
      <w:r w:rsidR="003D1C5D">
        <w:rPr>
          <w:rFonts w:eastAsia="Times New Roman" w:cs="Times New Roman"/>
          <w:sz w:val="20"/>
          <w:szCs w:val="20"/>
        </w:rPr>
        <w:t xml:space="preserve">ratio de liquidité </w:t>
      </w:r>
      <w:r w:rsidRPr="009A2219">
        <w:rPr>
          <w:rFonts w:eastAsia="Times New Roman" w:cs="Times New Roman"/>
          <w:sz w:val="20"/>
          <w:szCs w:val="20"/>
        </w:rPr>
        <w:t xml:space="preserve">court terme </w:t>
      </w:r>
      <w:r w:rsidR="009862CE">
        <w:rPr>
          <w:rFonts w:eastAsia="Times New Roman" w:cs="Times New Roman"/>
          <w:sz w:val="20"/>
          <w:szCs w:val="20"/>
        </w:rPr>
        <w:t>(</w:t>
      </w:r>
      <w:r w:rsidRPr="009A2219">
        <w:rPr>
          <w:rFonts w:eastAsia="Times New Roman" w:cs="Times New Roman"/>
          <w:sz w:val="20"/>
          <w:szCs w:val="20"/>
        </w:rPr>
        <w:t>LCR</w:t>
      </w:r>
      <w:r w:rsidR="009862CE">
        <w:rPr>
          <w:rFonts w:eastAsia="Times New Roman" w:cs="Times New Roman"/>
          <w:sz w:val="20"/>
          <w:szCs w:val="20"/>
        </w:rPr>
        <w:t>)</w:t>
      </w:r>
      <w:r w:rsidRPr="009A2219">
        <w:rPr>
          <w:rFonts w:eastAsia="Times New Roman" w:cs="Times New Roman"/>
          <w:sz w:val="20"/>
          <w:szCs w:val="20"/>
        </w:rPr>
        <w:t xml:space="preserve"> e</w:t>
      </w:r>
      <w:r w:rsidR="006F4E32">
        <w:rPr>
          <w:rFonts w:eastAsia="Times New Roman" w:cs="Times New Roman"/>
          <w:sz w:val="20"/>
          <w:szCs w:val="20"/>
        </w:rPr>
        <w:t>st supérieur à 100 </w:t>
      </w:r>
      <w:r w:rsidRPr="009A2219">
        <w:rPr>
          <w:rFonts w:eastAsia="Times New Roman" w:cs="Times New Roman"/>
          <w:sz w:val="20"/>
          <w:szCs w:val="20"/>
        </w:rPr>
        <w:t>%</w:t>
      </w:r>
      <w:r w:rsidRPr="009A2219">
        <w:rPr>
          <w:rStyle w:val="Appelnotedebasdep"/>
          <w:rFonts w:eastAsia="Times New Roman" w:cs="Times New Roman"/>
          <w:sz w:val="20"/>
          <w:szCs w:val="20"/>
        </w:rPr>
        <w:footnoteReference w:id="14"/>
      </w:r>
      <w:r w:rsidR="00EE5809">
        <w:rPr>
          <w:rFonts w:eastAsia="Times New Roman" w:cs="Times New Roman"/>
          <w:sz w:val="20"/>
          <w:szCs w:val="20"/>
        </w:rPr>
        <w:t xml:space="preserve"> depuis le 30 juin 2014</w:t>
      </w:r>
      <w:r w:rsidRPr="009A2219">
        <w:rPr>
          <w:rFonts w:eastAsia="Times New Roman" w:cs="Times New Roman"/>
          <w:sz w:val="20"/>
          <w:szCs w:val="20"/>
        </w:rPr>
        <w:t>.</w:t>
      </w:r>
    </w:p>
    <w:p w:rsidR="00D21E6D" w:rsidRPr="00FD1221" w:rsidRDefault="00D21E6D" w:rsidP="00D21E6D">
      <w:pPr>
        <w:tabs>
          <w:tab w:val="left" w:pos="426"/>
        </w:tabs>
        <w:autoSpaceDE w:val="0"/>
        <w:autoSpaceDN w:val="0"/>
        <w:adjustRightInd w:val="0"/>
        <w:rPr>
          <w:rFonts w:eastAsia="Times New Roman" w:cs="Times New Roman"/>
          <w:b/>
          <w:color w:val="E36C0A"/>
          <w:spacing w:val="-6"/>
          <w:sz w:val="20"/>
          <w:szCs w:val="20"/>
        </w:rPr>
      </w:pPr>
    </w:p>
    <w:p w:rsidR="00D21E6D" w:rsidRPr="00FD1221" w:rsidRDefault="00D21E6D" w:rsidP="00D21E6D">
      <w:pPr>
        <w:tabs>
          <w:tab w:val="left" w:pos="426"/>
        </w:tabs>
        <w:autoSpaceDE w:val="0"/>
        <w:autoSpaceDN w:val="0"/>
        <w:adjustRightInd w:val="0"/>
        <w:rPr>
          <w:rFonts w:eastAsia="Times New Roman" w:cs="Times New Roman"/>
          <w:b/>
          <w:color w:val="E36C0A"/>
          <w:spacing w:val="-6"/>
          <w:sz w:val="20"/>
          <w:szCs w:val="20"/>
        </w:rPr>
      </w:pPr>
    </w:p>
    <w:p w:rsidR="00D21E6D" w:rsidRDefault="00D21E6D" w:rsidP="00D21E6D">
      <w:pPr>
        <w:tabs>
          <w:tab w:val="left" w:pos="426"/>
        </w:tabs>
        <w:autoSpaceDE w:val="0"/>
        <w:autoSpaceDN w:val="0"/>
        <w:adjustRightInd w:val="0"/>
        <w:rPr>
          <w:rFonts w:eastAsia="Times New Roman" w:cs="Verdana,Bold"/>
          <w:b/>
          <w:bCs/>
          <w:color w:val="581D74"/>
          <w:sz w:val="20"/>
          <w:szCs w:val="20"/>
        </w:rPr>
      </w:pPr>
      <w:r w:rsidRPr="00FD1221">
        <w:rPr>
          <w:rFonts w:eastAsia="Times New Roman" w:cs="Times New Roman"/>
          <w:b/>
          <w:color w:val="E36C0A"/>
          <w:spacing w:val="-6"/>
          <w:sz w:val="20"/>
          <w:szCs w:val="20"/>
        </w:rPr>
        <w:t>2.3</w:t>
      </w:r>
      <w:r>
        <w:rPr>
          <w:rFonts w:eastAsia="Times New Roman" w:cs="Times New Roman"/>
          <w:b/>
          <w:color w:val="E36C0A"/>
          <w:sz w:val="20"/>
          <w:szCs w:val="20"/>
        </w:rPr>
        <w:tab/>
      </w:r>
      <w:r w:rsidR="005211A6" w:rsidRPr="00FD1221">
        <w:rPr>
          <w:rFonts w:eastAsia="Times New Roman" w:cs="Verdana,Bold"/>
          <w:b/>
          <w:bCs/>
          <w:color w:val="581D74"/>
          <w:sz w:val="20"/>
          <w:szCs w:val="20"/>
        </w:rPr>
        <w:t>Re</w:t>
      </w:r>
      <w:r w:rsidR="005211A6">
        <w:rPr>
          <w:rFonts w:eastAsia="Times New Roman" w:cs="Verdana,Bold"/>
          <w:b/>
          <w:bCs/>
          <w:color w:val="581D74"/>
          <w:sz w:val="20"/>
          <w:szCs w:val="20"/>
        </w:rPr>
        <w:t xml:space="preserve">ssources à </w:t>
      </w:r>
      <w:r w:rsidRPr="00FD1221">
        <w:rPr>
          <w:rFonts w:eastAsia="Times New Roman" w:cs="Verdana,Bold"/>
          <w:b/>
          <w:bCs/>
          <w:color w:val="581D74"/>
          <w:sz w:val="20"/>
          <w:szCs w:val="20"/>
        </w:rPr>
        <w:t>moyen</w:t>
      </w:r>
      <w:r>
        <w:rPr>
          <w:rFonts w:eastAsia="Times New Roman" w:cs="Verdana,Bold"/>
          <w:b/>
          <w:bCs/>
          <w:color w:val="581D74"/>
          <w:sz w:val="20"/>
          <w:szCs w:val="20"/>
        </w:rPr>
        <w:t>-</w:t>
      </w:r>
      <w:r w:rsidRPr="00FD1221">
        <w:rPr>
          <w:rFonts w:eastAsia="Times New Roman" w:cs="Verdana,Bold"/>
          <w:b/>
          <w:bCs/>
          <w:color w:val="581D74"/>
          <w:sz w:val="20"/>
          <w:szCs w:val="20"/>
        </w:rPr>
        <w:t>long terme</w:t>
      </w:r>
      <w:r w:rsidRPr="00FD1221">
        <w:rPr>
          <w:rFonts w:eastAsia="Times New Roman" w:cs="Verdana"/>
          <w:sz w:val="20"/>
          <w:szCs w:val="20"/>
        </w:rPr>
        <w:t> </w:t>
      </w:r>
    </w:p>
    <w:p w:rsidR="0034756A" w:rsidRPr="00A52285" w:rsidRDefault="0034756A" w:rsidP="00D21E6D">
      <w:pPr>
        <w:tabs>
          <w:tab w:val="left" w:pos="426"/>
        </w:tabs>
        <w:autoSpaceDE w:val="0"/>
        <w:autoSpaceDN w:val="0"/>
        <w:adjustRightInd w:val="0"/>
        <w:rPr>
          <w:rFonts w:eastAsia="Times New Roman" w:cs="Verdana"/>
          <w:color w:val="FF0000"/>
          <w:sz w:val="20"/>
          <w:szCs w:val="20"/>
        </w:rPr>
      </w:pPr>
    </w:p>
    <w:p w:rsidR="00D21E6D" w:rsidRPr="00466617" w:rsidRDefault="00D21E6D" w:rsidP="00D21E6D">
      <w:pPr>
        <w:tabs>
          <w:tab w:val="left" w:pos="426"/>
        </w:tabs>
        <w:autoSpaceDE w:val="0"/>
        <w:autoSpaceDN w:val="0"/>
        <w:adjustRightInd w:val="0"/>
        <w:rPr>
          <w:rFonts w:eastAsia="Times New Roman" w:cs="Verdana"/>
          <w:sz w:val="20"/>
          <w:szCs w:val="20"/>
        </w:rPr>
      </w:pPr>
      <w:r w:rsidRPr="00466617">
        <w:rPr>
          <w:rFonts w:eastAsia="Times New Roman" w:cs="Verdana"/>
          <w:sz w:val="20"/>
          <w:szCs w:val="20"/>
        </w:rPr>
        <w:t xml:space="preserve">Le Groupe BPCE démontre sa capacité à lever des montants importants grâce à une diversification accrue de sa base d’investisseurs. </w:t>
      </w:r>
    </w:p>
    <w:p w:rsidR="00D21E6D" w:rsidRPr="00A52285" w:rsidRDefault="00D21E6D" w:rsidP="00D21E6D">
      <w:pPr>
        <w:tabs>
          <w:tab w:val="left" w:pos="426"/>
        </w:tabs>
        <w:autoSpaceDE w:val="0"/>
        <w:autoSpaceDN w:val="0"/>
        <w:adjustRightInd w:val="0"/>
        <w:rPr>
          <w:rFonts w:eastAsia="Times New Roman" w:cs="Verdana"/>
          <w:color w:val="FF0000"/>
          <w:sz w:val="12"/>
          <w:szCs w:val="20"/>
        </w:rPr>
      </w:pPr>
    </w:p>
    <w:p w:rsidR="00D21E6D" w:rsidRPr="00466617" w:rsidRDefault="00D21E6D" w:rsidP="00D21E6D">
      <w:pPr>
        <w:tabs>
          <w:tab w:val="left" w:pos="426"/>
        </w:tabs>
        <w:autoSpaceDE w:val="0"/>
        <w:autoSpaceDN w:val="0"/>
        <w:adjustRightInd w:val="0"/>
        <w:rPr>
          <w:rFonts w:eastAsia="Times New Roman" w:cs="Verdana"/>
          <w:sz w:val="20"/>
          <w:szCs w:val="20"/>
        </w:rPr>
      </w:pPr>
      <w:r w:rsidRPr="00466617">
        <w:rPr>
          <w:rFonts w:eastAsia="Times New Roman" w:cs="Verdana"/>
          <w:sz w:val="20"/>
          <w:szCs w:val="20"/>
        </w:rPr>
        <w:lastRenderedPageBreak/>
        <w:t>Son accès aux grands marchés de dette lui a permis de lever</w:t>
      </w:r>
      <w:r w:rsidR="008617E1">
        <w:rPr>
          <w:rFonts w:eastAsia="Times New Roman" w:cs="Verdana"/>
          <w:sz w:val="20"/>
          <w:szCs w:val="20"/>
        </w:rPr>
        <w:t xml:space="preserve"> </w:t>
      </w:r>
      <w:r w:rsidRPr="00466617">
        <w:rPr>
          <w:rFonts w:eastAsia="Times New Roman" w:cs="Verdana"/>
          <w:sz w:val="20"/>
          <w:szCs w:val="20"/>
        </w:rPr>
        <w:t>au total 35,1</w:t>
      </w:r>
      <w:r w:rsidR="006F4E32">
        <w:rPr>
          <w:rFonts w:eastAsia="Times New Roman" w:cs="Verdana"/>
          <w:sz w:val="20"/>
          <w:szCs w:val="20"/>
        </w:rPr>
        <w:t> </w:t>
      </w:r>
      <w:r w:rsidRPr="00466617">
        <w:rPr>
          <w:rFonts w:eastAsia="Times New Roman" w:cs="Verdana"/>
          <w:sz w:val="20"/>
          <w:szCs w:val="20"/>
        </w:rPr>
        <w:t>milliards d’euros de ressources à moyen-long terme</w:t>
      </w:r>
      <w:r w:rsidR="00A77BE4">
        <w:rPr>
          <w:rFonts w:eastAsia="Times New Roman" w:cs="Verdana"/>
          <w:sz w:val="20"/>
          <w:szCs w:val="20"/>
        </w:rPr>
        <w:t xml:space="preserve"> (MLT)</w:t>
      </w:r>
      <w:r w:rsidRPr="00466617">
        <w:rPr>
          <w:rFonts w:eastAsia="Times New Roman" w:cs="Verdana"/>
          <w:sz w:val="20"/>
          <w:szCs w:val="20"/>
        </w:rPr>
        <w:t xml:space="preserve"> au 30 septembre 2014</w:t>
      </w:r>
      <w:r>
        <w:rPr>
          <w:rFonts w:eastAsia="Times New Roman" w:cs="Verdana"/>
          <w:sz w:val="20"/>
          <w:szCs w:val="20"/>
        </w:rPr>
        <w:t xml:space="preserve"> </w:t>
      </w:r>
      <w:r w:rsidR="008617E1">
        <w:rPr>
          <w:rFonts w:eastAsia="Times New Roman" w:cs="Verdana"/>
          <w:sz w:val="20"/>
          <w:szCs w:val="20"/>
        </w:rPr>
        <w:t>(</w:t>
      </w:r>
      <w:r w:rsidRPr="00466617">
        <w:rPr>
          <w:rFonts w:eastAsia="Times New Roman" w:cs="Verdana"/>
          <w:sz w:val="20"/>
          <w:szCs w:val="20"/>
        </w:rPr>
        <w:t>s</w:t>
      </w:r>
      <w:r w:rsidR="00BF7149">
        <w:rPr>
          <w:rFonts w:eastAsia="Times New Roman" w:cs="Verdana"/>
          <w:sz w:val="20"/>
          <w:szCs w:val="20"/>
        </w:rPr>
        <w:t>oit 117 % d</w:t>
      </w:r>
      <w:r w:rsidRPr="00466617">
        <w:rPr>
          <w:rFonts w:eastAsia="Times New Roman" w:cs="Verdana"/>
          <w:sz w:val="20"/>
          <w:szCs w:val="20"/>
        </w:rPr>
        <w:t>u programme 2014 de 30</w:t>
      </w:r>
      <w:r w:rsidR="008617E1">
        <w:rPr>
          <w:rFonts w:eastAsia="Times New Roman" w:cs="Verdana"/>
          <w:sz w:val="20"/>
          <w:szCs w:val="20"/>
        </w:rPr>
        <w:t> </w:t>
      </w:r>
      <w:r w:rsidRPr="00466617">
        <w:rPr>
          <w:rFonts w:eastAsia="Times New Roman" w:cs="Verdana"/>
          <w:sz w:val="20"/>
          <w:szCs w:val="20"/>
        </w:rPr>
        <w:t>milliards d’euros</w:t>
      </w:r>
      <w:r w:rsidR="008617E1">
        <w:rPr>
          <w:rFonts w:eastAsia="Times New Roman" w:cs="Verdana"/>
          <w:sz w:val="20"/>
          <w:szCs w:val="20"/>
        </w:rPr>
        <w:t>)</w:t>
      </w:r>
      <w:r w:rsidRPr="00466617">
        <w:rPr>
          <w:rFonts w:eastAsia="Times New Roman" w:cs="Verdana"/>
          <w:sz w:val="20"/>
          <w:szCs w:val="20"/>
        </w:rPr>
        <w:t>.</w:t>
      </w:r>
    </w:p>
    <w:p w:rsidR="00D21E6D" w:rsidRDefault="00D21E6D" w:rsidP="00D21E6D">
      <w:pPr>
        <w:tabs>
          <w:tab w:val="left" w:pos="426"/>
        </w:tabs>
        <w:autoSpaceDE w:val="0"/>
        <w:autoSpaceDN w:val="0"/>
        <w:adjustRightInd w:val="0"/>
        <w:rPr>
          <w:rFonts w:eastAsia="Times New Roman" w:cs="Verdana"/>
          <w:sz w:val="20"/>
          <w:szCs w:val="20"/>
        </w:rPr>
      </w:pPr>
      <w:r w:rsidRPr="00466617">
        <w:rPr>
          <w:rFonts w:eastAsia="Times New Roman" w:cs="Verdana"/>
          <w:sz w:val="20"/>
          <w:szCs w:val="20"/>
        </w:rPr>
        <w:t>La durée moyenne</w:t>
      </w:r>
      <w:r w:rsidR="006D3D39">
        <w:rPr>
          <w:rFonts w:eastAsia="Times New Roman" w:cs="Verdana"/>
          <w:sz w:val="20"/>
          <w:szCs w:val="20"/>
        </w:rPr>
        <w:t xml:space="preserve"> à l’émission s’élève à 6,8 ans. L</w:t>
      </w:r>
      <w:r w:rsidRPr="00466617">
        <w:rPr>
          <w:rFonts w:eastAsia="Times New Roman" w:cs="Verdana"/>
          <w:sz w:val="20"/>
          <w:szCs w:val="20"/>
        </w:rPr>
        <w:t xml:space="preserve">e taux </w:t>
      </w:r>
      <w:r w:rsidR="00BF7149">
        <w:rPr>
          <w:rFonts w:eastAsia="Times New Roman" w:cs="Verdana"/>
          <w:sz w:val="20"/>
          <w:szCs w:val="20"/>
        </w:rPr>
        <w:t xml:space="preserve">d’intérêt </w:t>
      </w:r>
      <w:r w:rsidRPr="00466617">
        <w:rPr>
          <w:rFonts w:eastAsia="Times New Roman" w:cs="Verdana"/>
          <w:sz w:val="20"/>
          <w:szCs w:val="20"/>
        </w:rPr>
        <w:t xml:space="preserve">moyen </w:t>
      </w:r>
      <w:r>
        <w:rPr>
          <w:rFonts w:eastAsia="Times New Roman" w:cs="Verdana"/>
          <w:sz w:val="20"/>
          <w:szCs w:val="20"/>
        </w:rPr>
        <w:t xml:space="preserve">est </w:t>
      </w:r>
      <w:r w:rsidR="00BF7149">
        <w:rPr>
          <w:rFonts w:eastAsia="Times New Roman" w:cs="Verdana"/>
          <w:sz w:val="20"/>
          <w:szCs w:val="20"/>
        </w:rPr>
        <w:t>égal a</w:t>
      </w:r>
      <w:r>
        <w:rPr>
          <w:rFonts w:eastAsia="Times New Roman" w:cs="Verdana"/>
          <w:sz w:val="20"/>
          <w:szCs w:val="20"/>
        </w:rPr>
        <w:t xml:space="preserve">u taux </w:t>
      </w:r>
      <w:proofErr w:type="spellStart"/>
      <w:r w:rsidRPr="00466617">
        <w:rPr>
          <w:rFonts w:eastAsia="Times New Roman" w:cs="Verdana"/>
          <w:sz w:val="20"/>
          <w:szCs w:val="20"/>
        </w:rPr>
        <w:t>mid</w:t>
      </w:r>
      <w:proofErr w:type="spellEnd"/>
      <w:r w:rsidRPr="00466617">
        <w:rPr>
          <w:rFonts w:eastAsia="Times New Roman" w:cs="Verdana"/>
          <w:sz w:val="20"/>
          <w:szCs w:val="20"/>
        </w:rPr>
        <w:t xml:space="preserve">-swap + 51 points de base. </w:t>
      </w:r>
    </w:p>
    <w:p w:rsidR="006B0ECD" w:rsidRDefault="006B0ECD" w:rsidP="00D21E6D">
      <w:pPr>
        <w:tabs>
          <w:tab w:val="left" w:pos="426"/>
        </w:tabs>
        <w:autoSpaceDE w:val="0"/>
        <w:autoSpaceDN w:val="0"/>
        <w:adjustRightInd w:val="0"/>
        <w:rPr>
          <w:rFonts w:eastAsia="Times New Roman" w:cs="Verdana"/>
          <w:sz w:val="20"/>
          <w:szCs w:val="20"/>
        </w:rPr>
      </w:pPr>
    </w:p>
    <w:p w:rsidR="006B0ECD" w:rsidRPr="002B1525" w:rsidRDefault="006B0ECD" w:rsidP="006B0ECD">
      <w:pPr>
        <w:tabs>
          <w:tab w:val="left" w:pos="426"/>
        </w:tabs>
        <w:autoSpaceDE w:val="0"/>
        <w:autoSpaceDN w:val="0"/>
        <w:adjustRightInd w:val="0"/>
        <w:rPr>
          <w:rFonts w:eastAsia="Times New Roman" w:cs="Verdana"/>
          <w:color w:val="FF0000"/>
          <w:sz w:val="20"/>
          <w:szCs w:val="20"/>
        </w:rPr>
      </w:pPr>
      <w:r w:rsidRPr="006B0ECD">
        <w:rPr>
          <w:rFonts w:eastAsia="Times New Roman" w:cs="Verdana"/>
          <w:sz w:val="20"/>
          <w:szCs w:val="20"/>
        </w:rPr>
        <w:t xml:space="preserve">Au 30 septembre </w:t>
      </w:r>
      <w:r w:rsidRPr="002B1525">
        <w:rPr>
          <w:rFonts w:eastAsia="Times New Roman" w:cs="Verdana"/>
          <w:sz w:val="20"/>
          <w:szCs w:val="20"/>
        </w:rPr>
        <w:t>2014, 30,5</w:t>
      </w:r>
      <w:r w:rsidR="006F4E32">
        <w:rPr>
          <w:rFonts w:eastAsia="Times New Roman" w:cs="Verdana"/>
          <w:sz w:val="20"/>
          <w:szCs w:val="20"/>
        </w:rPr>
        <w:t> </w:t>
      </w:r>
      <w:r w:rsidRPr="002B1525">
        <w:rPr>
          <w:rFonts w:eastAsia="Times New Roman" w:cs="Verdana"/>
          <w:sz w:val="20"/>
          <w:szCs w:val="20"/>
        </w:rPr>
        <w:t>milliards d’euros ont été levés sur</w:t>
      </w:r>
      <w:r w:rsidR="00623EE7">
        <w:rPr>
          <w:rFonts w:eastAsia="Times New Roman" w:cs="Verdana"/>
          <w:sz w:val="20"/>
          <w:szCs w:val="20"/>
        </w:rPr>
        <w:t xml:space="preserve"> le pool de refinancement MLT de</w:t>
      </w:r>
      <w:r w:rsidRPr="002B1525">
        <w:rPr>
          <w:rFonts w:eastAsia="Times New Roman" w:cs="Verdana"/>
          <w:sz w:val="20"/>
          <w:szCs w:val="20"/>
        </w:rPr>
        <w:t xml:space="preserve"> BPCE</w:t>
      </w:r>
      <w:r w:rsidRPr="006B0ECD">
        <w:rPr>
          <w:rFonts w:eastAsia="Times New Roman" w:cs="Verdana"/>
          <w:sz w:val="20"/>
          <w:szCs w:val="20"/>
        </w:rPr>
        <w:t>.</w:t>
      </w:r>
    </w:p>
    <w:p w:rsidR="006B0ECD" w:rsidRPr="000F044E" w:rsidRDefault="006B0ECD" w:rsidP="006B0ECD">
      <w:pPr>
        <w:tabs>
          <w:tab w:val="left" w:pos="426"/>
        </w:tabs>
        <w:autoSpaceDE w:val="0"/>
        <w:autoSpaceDN w:val="0"/>
        <w:adjustRightInd w:val="0"/>
        <w:rPr>
          <w:rFonts w:eastAsia="Times New Roman" w:cs="Verdana"/>
          <w:sz w:val="20"/>
          <w:szCs w:val="20"/>
        </w:rPr>
      </w:pPr>
      <w:r w:rsidRPr="002B1525">
        <w:rPr>
          <w:rFonts w:eastAsia="Times New Roman" w:cs="Verdana"/>
          <w:sz w:val="20"/>
          <w:szCs w:val="20"/>
        </w:rPr>
        <w:t>A la même date, 4,6</w:t>
      </w:r>
      <w:r w:rsidR="0087198F">
        <w:rPr>
          <w:rFonts w:eastAsia="Times New Roman" w:cs="Verdana"/>
          <w:sz w:val="20"/>
          <w:szCs w:val="20"/>
        </w:rPr>
        <w:t> </w:t>
      </w:r>
      <w:r w:rsidRPr="002B1525">
        <w:rPr>
          <w:rFonts w:eastAsia="Times New Roman" w:cs="Verdana"/>
          <w:sz w:val="20"/>
          <w:szCs w:val="20"/>
        </w:rPr>
        <w:t>milliards d’euros ont été levés sur le pool de refinancement du CFF.</w:t>
      </w:r>
    </w:p>
    <w:p w:rsidR="00D21E6D" w:rsidRDefault="00D21E6D" w:rsidP="00D21E6D">
      <w:pPr>
        <w:tabs>
          <w:tab w:val="left" w:pos="426"/>
        </w:tabs>
        <w:autoSpaceDE w:val="0"/>
        <w:autoSpaceDN w:val="0"/>
        <w:adjustRightInd w:val="0"/>
        <w:rPr>
          <w:rFonts w:eastAsia="Times New Roman" w:cs="Verdana"/>
          <w:sz w:val="20"/>
          <w:szCs w:val="20"/>
        </w:rPr>
      </w:pPr>
    </w:p>
    <w:p w:rsidR="00D21E6D" w:rsidRDefault="00D21E6D" w:rsidP="00D21E6D">
      <w:pPr>
        <w:tabs>
          <w:tab w:val="left" w:pos="426"/>
        </w:tabs>
        <w:autoSpaceDE w:val="0"/>
        <w:autoSpaceDN w:val="0"/>
        <w:adjustRightInd w:val="0"/>
        <w:rPr>
          <w:rFonts w:eastAsia="Times New Roman" w:cs="Verdana"/>
          <w:sz w:val="20"/>
          <w:szCs w:val="20"/>
        </w:rPr>
      </w:pPr>
      <w:r w:rsidRPr="00466617">
        <w:rPr>
          <w:rFonts w:eastAsia="Times New Roman" w:cs="Verdana"/>
          <w:sz w:val="20"/>
          <w:szCs w:val="20"/>
        </w:rPr>
        <w:t xml:space="preserve">Au </w:t>
      </w:r>
      <w:r>
        <w:rPr>
          <w:rFonts w:eastAsia="Times New Roman" w:cs="Verdana"/>
          <w:sz w:val="20"/>
          <w:szCs w:val="20"/>
        </w:rPr>
        <w:t>30 septembre</w:t>
      </w:r>
      <w:r w:rsidRPr="00466617">
        <w:rPr>
          <w:rFonts w:eastAsia="Times New Roman" w:cs="Verdana"/>
          <w:sz w:val="20"/>
          <w:szCs w:val="20"/>
        </w:rPr>
        <w:t xml:space="preserve"> 2014, 74 % du refinancement concerne des émissions non sécurisées, et 26 % des émissions sécurisées. </w:t>
      </w:r>
      <w:r>
        <w:rPr>
          <w:rFonts w:eastAsia="Times New Roman" w:cs="Verdana"/>
          <w:sz w:val="20"/>
          <w:szCs w:val="20"/>
        </w:rPr>
        <w:t xml:space="preserve">Par ailleurs, 52 % des émissions </w:t>
      </w:r>
      <w:r w:rsidR="00160174">
        <w:rPr>
          <w:rFonts w:eastAsia="Times New Roman" w:cs="Verdana"/>
          <w:sz w:val="20"/>
          <w:szCs w:val="20"/>
        </w:rPr>
        <w:t xml:space="preserve">vers des clients institutionnels </w:t>
      </w:r>
      <w:r>
        <w:rPr>
          <w:rFonts w:eastAsia="Times New Roman" w:cs="Verdana"/>
          <w:sz w:val="20"/>
          <w:szCs w:val="20"/>
        </w:rPr>
        <w:t>sont des émissions publiques, 48 % sont des placements privés.</w:t>
      </w:r>
    </w:p>
    <w:p w:rsidR="00D21E6D" w:rsidRPr="00466617" w:rsidRDefault="00D21E6D" w:rsidP="00D21E6D">
      <w:pPr>
        <w:tabs>
          <w:tab w:val="left" w:pos="426"/>
        </w:tabs>
        <w:autoSpaceDE w:val="0"/>
        <w:autoSpaceDN w:val="0"/>
        <w:adjustRightInd w:val="0"/>
        <w:rPr>
          <w:rFonts w:eastAsia="Times New Roman" w:cs="Verdana"/>
          <w:sz w:val="20"/>
          <w:szCs w:val="20"/>
        </w:rPr>
      </w:pPr>
    </w:p>
    <w:p w:rsidR="00D21E6D" w:rsidRPr="00CC7B1E" w:rsidRDefault="00D21E6D" w:rsidP="00D21E6D">
      <w:pPr>
        <w:tabs>
          <w:tab w:val="left" w:pos="426"/>
        </w:tabs>
        <w:autoSpaceDE w:val="0"/>
        <w:autoSpaceDN w:val="0"/>
        <w:adjustRightInd w:val="0"/>
        <w:rPr>
          <w:rFonts w:eastAsia="Times New Roman" w:cs="Verdana"/>
          <w:sz w:val="20"/>
          <w:szCs w:val="20"/>
        </w:rPr>
      </w:pPr>
      <w:r w:rsidRPr="00E7126E">
        <w:rPr>
          <w:rFonts w:eastAsia="Times New Roman" w:cs="Verdana"/>
          <w:sz w:val="20"/>
          <w:szCs w:val="20"/>
        </w:rPr>
        <w:t>Le Groupe BPCE accroit la diversification de sa base d’investis</w:t>
      </w:r>
      <w:r w:rsidR="00AF1A86">
        <w:rPr>
          <w:rFonts w:eastAsia="Times New Roman" w:cs="Verdana"/>
          <w:sz w:val="20"/>
          <w:szCs w:val="20"/>
        </w:rPr>
        <w:t xml:space="preserve">seurs, concernant les émissions </w:t>
      </w:r>
      <w:r w:rsidRPr="00E7126E">
        <w:rPr>
          <w:rFonts w:eastAsia="Times New Roman" w:cs="Verdana"/>
          <w:sz w:val="20"/>
          <w:szCs w:val="20"/>
        </w:rPr>
        <w:t xml:space="preserve">non sécurisées levées sur le marché institutionnel. </w:t>
      </w:r>
      <w:r w:rsidRPr="00CC7B1E">
        <w:rPr>
          <w:rFonts w:eastAsia="Times New Roman" w:cs="Verdana"/>
          <w:sz w:val="20"/>
          <w:szCs w:val="20"/>
        </w:rPr>
        <w:t>Les émissions en devises</w:t>
      </w:r>
      <w:r w:rsidR="00257926">
        <w:rPr>
          <w:rFonts w:eastAsia="Times New Roman" w:cs="Verdana"/>
          <w:sz w:val="20"/>
          <w:szCs w:val="20"/>
        </w:rPr>
        <w:t>,</w:t>
      </w:r>
      <w:r w:rsidRPr="00CC7B1E">
        <w:rPr>
          <w:rFonts w:eastAsia="Times New Roman" w:cs="Verdana"/>
          <w:sz w:val="20"/>
          <w:szCs w:val="20"/>
        </w:rPr>
        <w:t xml:space="preserve"> autres que l’euro</w:t>
      </w:r>
      <w:r w:rsidR="00257926">
        <w:rPr>
          <w:rFonts w:eastAsia="Times New Roman" w:cs="Verdana"/>
          <w:sz w:val="20"/>
          <w:szCs w:val="20"/>
        </w:rPr>
        <w:t xml:space="preserve">, représentent 49 % du total contre 30 % en 2013. </w:t>
      </w:r>
      <w:r w:rsidR="00801709">
        <w:rPr>
          <w:rFonts w:eastAsia="Times New Roman" w:cs="Verdana"/>
          <w:sz w:val="20"/>
          <w:szCs w:val="20"/>
        </w:rPr>
        <w:t xml:space="preserve">Ainsi, au 30 septembre 2014, les émissions en dollars US représentent </w:t>
      </w:r>
      <w:r w:rsidRPr="00CC7B1E">
        <w:rPr>
          <w:rFonts w:eastAsia="Times New Roman" w:cs="Verdana"/>
          <w:sz w:val="20"/>
          <w:szCs w:val="20"/>
        </w:rPr>
        <w:t>34 %</w:t>
      </w:r>
      <w:r w:rsidR="00801709">
        <w:rPr>
          <w:rFonts w:eastAsia="Times New Roman" w:cs="Verdana"/>
          <w:sz w:val="20"/>
          <w:szCs w:val="20"/>
        </w:rPr>
        <w:t xml:space="preserve">, celles en </w:t>
      </w:r>
      <w:r w:rsidRPr="00CC7B1E">
        <w:rPr>
          <w:rFonts w:eastAsia="Times New Roman" w:cs="Verdana"/>
          <w:sz w:val="20"/>
          <w:szCs w:val="20"/>
        </w:rPr>
        <w:t>livres s</w:t>
      </w:r>
      <w:r>
        <w:rPr>
          <w:rFonts w:eastAsia="Times New Roman" w:cs="Verdana"/>
          <w:sz w:val="20"/>
          <w:szCs w:val="20"/>
        </w:rPr>
        <w:t>terling</w:t>
      </w:r>
      <w:r w:rsidR="00801709">
        <w:rPr>
          <w:rFonts w:eastAsia="Times New Roman" w:cs="Verdana"/>
          <w:sz w:val="20"/>
          <w:szCs w:val="20"/>
        </w:rPr>
        <w:t xml:space="preserve"> 7 %</w:t>
      </w:r>
      <w:r w:rsidR="0037754A">
        <w:rPr>
          <w:rFonts w:eastAsia="Times New Roman" w:cs="Verdana"/>
          <w:sz w:val="20"/>
          <w:szCs w:val="20"/>
        </w:rPr>
        <w:t>,</w:t>
      </w:r>
      <w:r>
        <w:rPr>
          <w:rFonts w:eastAsia="Times New Roman" w:cs="Verdana"/>
          <w:sz w:val="20"/>
          <w:szCs w:val="20"/>
        </w:rPr>
        <w:t xml:space="preserve"> et</w:t>
      </w:r>
      <w:r w:rsidR="00801709">
        <w:rPr>
          <w:rFonts w:eastAsia="Times New Roman" w:cs="Verdana"/>
          <w:sz w:val="20"/>
          <w:szCs w:val="20"/>
        </w:rPr>
        <w:t xml:space="preserve"> celles en yens</w:t>
      </w:r>
      <w:r>
        <w:rPr>
          <w:rFonts w:eastAsia="Times New Roman" w:cs="Verdana"/>
          <w:sz w:val="20"/>
          <w:szCs w:val="20"/>
        </w:rPr>
        <w:t xml:space="preserve"> 3</w:t>
      </w:r>
      <w:r w:rsidR="00801709">
        <w:rPr>
          <w:rFonts w:eastAsia="Times New Roman" w:cs="Verdana"/>
          <w:sz w:val="20"/>
          <w:szCs w:val="20"/>
        </w:rPr>
        <w:t> %</w:t>
      </w:r>
      <w:r w:rsidRPr="00CC7B1E">
        <w:rPr>
          <w:rFonts w:eastAsia="Times New Roman" w:cs="Verdana"/>
          <w:sz w:val="20"/>
          <w:szCs w:val="20"/>
        </w:rPr>
        <w:t xml:space="preserve">. </w:t>
      </w:r>
    </w:p>
    <w:p w:rsidR="00D21E6D" w:rsidRPr="00A52285" w:rsidRDefault="00D21E6D" w:rsidP="00D21E6D">
      <w:pPr>
        <w:tabs>
          <w:tab w:val="left" w:pos="426"/>
        </w:tabs>
        <w:autoSpaceDE w:val="0"/>
        <w:autoSpaceDN w:val="0"/>
        <w:adjustRightInd w:val="0"/>
        <w:rPr>
          <w:rFonts w:eastAsia="Times New Roman" w:cs="Verdana"/>
          <w:color w:val="FF0000"/>
          <w:sz w:val="12"/>
          <w:szCs w:val="20"/>
        </w:rPr>
      </w:pPr>
    </w:p>
    <w:p w:rsidR="00C77B2C" w:rsidRDefault="00C77B2C">
      <w:pPr>
        <w:spacing w:after="200" w:line="276" w:lineRule="auto"/>
        <w:jc w:val="left"/>
        <w:rPr>
          <w:b/>
          <w:smallCaps/>
          <w:color w:val="581D74"/>
        </w:rPr>
      </w:pPr>
    </w:p>
    <w:p w:rsidR="00D54C02" w:rsidRDefault="00D54C02">
      <w:pPr>
        <w:spacing w:after="200" w:line="276" w:lineRule="auto"/>
        <w:jc w:val="left"/>
        <w:rPr>
          <w:b/>
          <w:smallCaps/>
          <w:color w:val="581D74"/>
        </w:rPr>
      </w:pPr>
      <w:r>
        <w:rPr>
          <w:b/>
          <w:smallCaps/>
          <w:color w:val="581D74"/>
        </w:rPr>
        <w:br w:type="page"/>
      </w:r>
    </w:p>
    <w:p w:rsidR="00AD6429" w:rsidRPr="00D61D41" w:rsidRDefault="00AD6429" w:rsidP="00AD6429">
      <w:pPr>
        <w:tabs>
          <w:tab w:val="left" w:pos="426"/>
        </w:tabs>
        <w:spacing w:line="240" w:lineRule="atLeast"/>
        <w:rPr>
          <w:b/>
          <w:smallCaps/>
          <w:color w:val="581D74"/>
        </w:rPr>
      </w:pPr>
      <w:r w:rsidRPr="00D61D41">
        <w:rPr>
          <w:b/>
          <w:smallCaps/>
          <w:color w:val="581D74"/>
        </w:rPr>
        <w:lastRenderedPageBreak/>
        <w:t xml:space="preserve">RÉSULTATS CONSOLIDÉS DU GROUPE BPCE AU </w:t>
      </w:r>
      <w:r>
        <w:rPr>
          <w:b/>
          <w:smallCaps/>
          <w:color w:val="581D74"/>
        </w:rPr>
        <w:t>TROISI</w:t>
      </w:r>
      <w:r w:rsidR="0087198F">
        <w:rPr>
          <w:b/>
          <w:smallCaps/>
          <w:color w:val="581D74"/>
        </w:rPr>
        <w:t>È</w:t>
      </w:r>
      <w:r>
        <w:rPr>
          <w:b/>
          <w:smallCaps/>
          <w:color w:val="581D74"/>
        </w:rPr>
        <w:t>ME</w:t>
      </w:r>
      <w:r w:rsidRPr="00D61D41">
        <w:rPr>
          <w:b/>
          <w:smallCaps/>
          <w:color w:val="581D74"/>
        </w:rPr>
        <w:t xml:space="preserve"> TRIMESTRE 201</w:t>
      </w:r>
      <w:r>
        <w:rPr>
          <w:b/>
          <w:smallCaps/>
          <w:color w:val="581D74"/>
        </w:rPr>
        <w:t>4</w:t>
      </w:r>
      <w:r w:rsidRPr="00D61D41">
        <w:rPr>
          <w:b/>
          <w:smallCaps/>
          <w:color w:val="581D74"/>
        </w:rPr>
        <w:t xml:space="preserve"> </w:t>
      </w:r>
    </w:p>
    <w:p w:rsidR="00AD6429" w:rsidRPr="00D61D41" w:rsidRDefault="00AD6429" w:rsidP="00AD6429">
      <w:pPr>
        <w:tabs>
          <w:tab w:val="left" w:pos="426"/>
        </w:tabs>
        <w:spacing w:line="240" w:lineRule="atLeast"/>
        <w:rPr>
          <w:b/>
          <w:smallCaps/>
          <w:color w:val="581D74"/>
        </w:rPr>
      </w:pPr>
    </w:p>
    <w:tbl>
      <w:tblPr>
        <w:tblW w:w="9693" w:type="dxa"/>
        <w:tblInd w:w="113" w:type="dxa"/>
        <w:tblLayout w:type="fixed"/>
        <w:tblCellMar>
          <w:left w:w="0" w:type="dxa"/>
          <w:right w:w="0" w:type="dxa"/>
        </w:tblCellMar>
        <w:tblLook w:val="0420" w:firstRow="1" w:lastRow="0" w:firstColumn="0" w:lastColumn="0" w:noHBand="0" w:noVBand="1"/>
      </w:tblPr>
      <w:tblGrid>
        <w:gridCol w:w="4422"/>
        <w:gridCol w:w="1247"/>
        <w:gridCol w:w="1277"/>
        <w:gridCol w:w="253"/>
        <w:gridCol w:w="1247"/>
        <w:gridCol w:w="1247"/>
      </w:tblGrid>
      <w:tr w:rsidR="00AD6429" w:rsidRPr="00D61D41">
        <w:trPr>
          <w:trHeight w:val="567"/>
        </w:trPr>
        <w:tc>
          <w:tcPr>
            <w:tcW w:w="4422" w:type="dxa"/>
            <w:tcBorders>
              <w:top w:val="nil"/>
              <w:left w:val="nil"/>
              <w:bottom w:val="single" w:sz="8" w:space="0" w:color="581D74"/>
              <w:right w:val="single" w:sz="8" w:space="0" w:color="581D74"/>
            </w:tcBorders>
            <w:shd w:val="clear" w:color="auto" w:fill="auto"/>
            <w:tcMar>
              <w:top w:w="57" w:type="dxa"/>
              <w:left w:w="113" w:type="dxa"/>
              <w:bottom w:w="57" w:type="dxa"/>
              <w:right w:w="113" w:type="dxa"/>
            </w:tcMar>
            <w:vAlign w:val="center"/>
          </w:tcPr>
          <w:p w:rsidR="00AD6429" w:rsidRDefault="00AD6429" w:rsidP="00A44E53">
            <w:pPr>
              <w:rPr>
                <w:i/>
                <w:color w:val="581D74"/>
                <w:sz w:val="16"/>
                <w:szCs w:val="16"/>
              </w:rPr>
            </w:pPr>
            <w:r w:rsidRPr="00D61D41">
              <w:rPr>
                <w:i/>
                <w:color w:val="581D74"/>
                <w:sz w:val="16"/>
                <w:szCs w:val="16"/>
              </w:rPr>
              <w:t>en millions d’euros</w:t>
            </w:r>
          </w:p>
          <w:p w:rsidR="00AD6429" w:rsidRPr="00D61D41" w:rsidRDefault="00AD6429" w:rsidP="00A44E53">
            <w:pPr>
              <w:rPr>
                <w:i/>
                <w:color w:val="581D74"/>
                <w:sz w:val="16"/>
                <w:szCs w:val="16"/>
              </w:rPr>
            </w:pPr>
            <w:r>
              <w:rPr>
                <w:i/>
                <w:color w:val="581D74"/>
                <w:sz w:val="16"/>
                <w:szCs w:val="16"/>
              </w:rPr>
              <w:t xml:space="preserve">résultats pro forma*** </w:t>
            </w:r>
          </w:p>
        </w:tc>
        <w:tc>
          <w:tcPr>
            <w:tcW w:w="1247" w:type="dxa"/>
            <w:tcBorders>
              <w:top w:val="single" w:sz="8" w:space="0" w:color="581D74"/>
              <w:left w:val="single" w:sz="8" w:space="0" w:color="581D74"/>
              <w:bottom w:val="single" w:sz="8" w:space="0" w:color="581D74"/>
              <w:right w:val="single" w:sz="8" w:space="0" w:color="581D74"/>
            </w:tcBorders>
            <w:shd w:val="clear" w:color="auto" w:fill="581D74"/>
            <w:tcMar>
              <w:top w:w="57" w:type="dxa"/>
              <w:left w:w="113" w:type="dxa"/>
              <w:bottom w:w="57" w:type="dxa"/>
              <w:right w:w="113" w:type="dxa"/>
            </w:tcMar>
            <w:vAlign w:val="center"/>
          </w:tcPr>
          <w:p w:rsidR="00AD6429" w:rsidRPr="005E14CD" w:rsidRDefault="00AD6429" w:rsidP="00A44E53">
            <w:pPr>
              <w:tabs>
                <w:tab w:val="left" w:pos="426"/>
              </w:tabs>
              <w:jc w:val="center"/>
              <w:rPr>
                <w:b/>
                <w:smallCaps/>
                <w:color w:val="FFFFFF"/>
                <w:sz w:val="19"/>
                <w:szCs w:val="19"/>
              </w:rPr>
            </w:pPr>
            <w:r w:rsidRPr="005E14CD">
              <w:rPr>
                <w:b/>
                <w:bCs/>
                <w:smallCaps/>
                <w:color w:val="FFFFFF"/>
                <w:sz w:val="19"/>
                <w:szCs w:val="19"/>
              </w:rPr>
              <w:t>T3-1</w:t>
            </w:r>
            <w:r>
              <w:rPr>
                <w:b/>
                <w:bCs/>
                <w:smallCaps/>
                <w:color w:val="FFFFFF"/>
                <w:sz w:val="19"/>
                <w:szCs w:val="19"/>
              </w:rPr>
              <w:t>4</w:t>
            </w:r>
          </w:p>
        </w:tc>
        <w:tc>
          <w:tcPr>
            <w:tcW w:w="1277" w:type="dxa"/>
            <w:tcBorders>
              <w:top w:val="single" w:sz="8" w:space="0" w:color="581D74"/>
              <w:left w:val="single" w:sz="8" w:space="0" w:color="581D74"/>
              <w:bottom w:val="single" w:sz="8" w:space="0" w:color="581D74"/>
              <w:right w:val="single" w:sz="8" w:space="0" w:color="581D74"/>
            </w:tcBorders>
            <w:shd w:val="clear" w:color="auto" w:fill="EAE7EC"/>
            <w:tcMar>
              <w:top w:w="57" w:type="dxa"/>
              <w:left w:w="113" w:type="dxa"/>
              <w:bottom w:w="57" w:type="dxa"/>
              <w:right w:w="113" w:type="dxa"/>
            </w:tcMar>
            <w:vAlign w:val="center"/>
          </w:tcPr>
          <w:p w:rsidR="00AD6429" w:rsidRPr="005E14CD" w:rsidRDefault="00AD6429" w:rsidP="00A44E53">
            <w:pPr>
              <w:tabs>
                <w:tab w:val="left" w:pos="426"/>
              </w:tabs>
              <w:jc w:val="center"/>
              <w:rPr>
                <w:b/>
                <w:smallCaps/>
                <w:color w:val="581D74"/>
                <w:sz w:val="19"/>
                <w:szCs w:val="19"/>
              </w:rPr>
            </w:pPr>
            <w:r>
              <w:rPr>
                <w:b/>
                <w:bCs/>
                <w:smallCaps/>
                <w:color w:val="581D74"/>
                <w:sz w:val="19"/>
                <w:szCs w:val="19"/>
              </w:rPr>
              <w:t>T3-14</w:t>
            </w:r>
            <w:r w:rsidRPr="005E14CD">
              <w:rPr>
                <w:b/>
                <w:bCs/>
                <w:smallCaps/>
                <w:color w:val="581D74"/>
                <w:sz w:val="19"/>
                <w:szCs w:val="19"/>
              </w:rPr>
              <w:t xml:space="preserve"> / </w:t>
            </w:r>
            <w:r w:rsidRPr="005E14CD">
              <w:rPr>
                <w:b/>
                <w:bCs/>
                <w:smallCaps/>
                <w:color w:val="581D74"/>
                <w:sz w:val="19"/>
                <w:szCs w:val="19"/>
              </w:rPr>
              <w:br/>
              <w:t>T3-1</w:t>
            </w:r>
            <w:r>
              <w:rPr>
                <w:b/>
                <w:bCs/>
                <w:smallCaps/>
                <w:color w:val="581D74"/>
                <w:sz w:val="19"/>
                <w:szCs w:val="19"/>
              </w:rPr>
              <w:t>3</w:t>
            </w:r>
          </w:p>
        </w:tc>
        <w:tc>
          <w:tcPr>
            <w:tcW w:w="253" w:type="dxa"/>
            <w:tcBorders>
              <w:top w:val="nil"/>
              <w:left w:val="single" w:sz="8" w:space="0" w:color="581D74"/>
              <w:bottom w:val="nil"/>
              <w:right w:val="single" w:sz="8" w:space="0" w:color="581D74"/>
            </w:tcBorders>
            <w:shd w:val="clear" w:color="auto" w:fill="auto"/>
            <w:tcMar>
              <w:top w:w="57" w:type="dxa"/>
              <w:left w:w="113" w:type="dxa"/>
              <w:bottom w:w="57" w:type="dxa"/>
              <w:right w:w="113" w:type="dxa"/>
            </w:tcMar>
            <w:vAlign w:val="center"/>
          </w:tcPr>
          <w:p w:rsidR="00AD6429" w:rsidRPr="005E14CD" w:rsidRDefault="00AD6429" w:rsidP="00A44E53">
            <w:pPr>
              <w:tabs>
                <w:tab w:val="left" w:pos="426"/>
              </w:tabs>
              <w:spacing w:line="240" w:lineRule="atLeast"/>
              <w:jc w:val="center"/>
              <w:rPr>
                <w:b/>
                <w:smallCaps/>
                <w:color w:val="581D74"/>
                <w:sz w:val="19"/>
                <w:szCs w:val="19"/>
              </w:rPr>
            </w:pPr>
          </w:p>
        </w:tc>
        <w:tc>
          <w:tcPr>
            <w:tcW w:w="1247" w:type="dxa"/>
            <w:tcBorders>
              <w:top w:val="single" w:sz="8" w:space="0" w:color="581D74"/>
              <w:left w:val="single" w:sz="8" w:space="0" w:color="581D74"/>
              <w:bottom w:val="single" w:sz="8" w:space="0" w:color="581D74"/>
              <w:right w:val="single" w:sz="8" w:space="0" w:color="581D74"/>
            </w:tcBorders>
            <w:shd w:val="clear" w:color="auto" w:fill="581D74"/>
            <w:tcMar>
              <w:top w:w="57" w:type="dxa"/>
              <w:left w:w="113" w:type="dxa"/>
              <w:bottom w:w="57" w:type="dxa"/>
              <w:right w:w="113" w:type="dxa"/>
            </w:tcMar>
            <w:vAlign w:val="center"/>
          </w:tcPr>
          <w:p w:rsidR="00AD6429" w:rsidRPr="005E14CD" w:rsidRDefault="00AD6429" w:rsidP="00A44E53">
            <w:pPr>
              <w:tabs>
                <w:tab w:val="left" w:pos="426"/>
              </w:tabs>
              <w:jc w:val="center"/>
              <w:rPr>
                <w:b/>
                <w:smallCaps/>
                <w:color w:val="FFFFFF"/>
                <w:sz w:val="19"/>
                <w:szCs w:val="19"/>
              </w:rPr>
            </w:pPr>
            <w:r w:rsidRPr="005E14CD">
              <w:rPr>
                <w:b/>
                <w:bCs/>
                <w:smallCaps/>
                <w:color w:val="FFFFFF"/>
                <w:sz w:val="19"/>
                <w:szCs w:val="19"/>
              </w:rPr>
              <w:t>Métiers cœurs</w:t>
            </w:r>
            <w:r w:rsidRPr="005E14CD">
              <w:rPr>
                <w:b/>
                <w:bCs/>
                <w:smallCaps/>
                <w:color w:val="FFFFFF"/>
                <w:sz w:val="19"/>
                <w:szCs w:val="19"/>
                <w:vertAlign w:val="superscript"/>
              </w:rPr>
              <w:t>*</w:t>
            </w:r>
          </w:p>
          <w:p w:rsidR="00AD6429" w:rsidRPr="005E14CD" w:rsidRDefault="00AD6429" w:rsidP="00A44E53">
            <w:pPr>
              <w:tabs>
                <w:tab w:val="left" w:pos="426"/>
              </w:tabs>
              <w:jc w:val="center"/>
              <w:rPr>
                <w:b/>
                <w:smallCaps/>
                <w:color w:val="581D74"/>
                <w:sz w:val="19"/>
                <w:szCs w:val="19"/>
              </w:rPr>
            </w:pPr>
            <w:r w:rsidRPr="005E14CD">
              <w:rPr>
                <w:b/>
                <w:bCs/>
                <w:smallCaps/>
                <w:color w:val="FFFFFF"/>
                <w:sz w:val="19"/>
                <w:szCs w:val="19"/>
              </w:rPr>
              <w:t>T3-1</w:t>
            </w:r>
            <w:r>
              <w:rPr>
                <w:b/>
                <w:bCs/>
                <w:smallCaps/>
                <w:color w:val="FFFFFF"/>
                <w:sz w:val="19"/>
                <w:szCs w:val="19"/>
              </w:rPr>
              <w:t>4</w:t>
            </w:r>
          </w:p>
        </w:tc>
        <w:tc>
          <w:tcPr>
            <w:tcW w:w="1247" w:type="dxa"/>
            <w:tcBorders>
              <w:top w:val="single" w:sz="8" w:space="0" w:color="581D74"/>
              <w:left w:val="single" w:sz="8" w:space="0" w:color="581D74"/>
              <w:bottom w:val="single" w:sz="8" w:space="0" w:color="581D74"/>
              <w:right w:val="single" w:sz="8" w:space="0" w:color="581D74"/>
            </w:tcBorders>
            <w:shd w:val="clear" w:color="auto" w:fill="EAE7EC"/>
            <w:tcMar>
              <w:top w:w="57" w:type="dxa"/>
              <w:left w:w="113" w:type="dxa"/>
              <w:bottom w:w="57" w:type="dxa"/>
              <w:right w:w="113" w:type="dxa"/>
            </w:tcMar>
            <w:vAlign w:val="center"/>
          </w:tcPr>
          <w:p w:rsidR="00AD6429" w:rsidRPr="005E14CD" w:rsidRDefault="00AD6429" w:rsidP="00A44E53">
            <w:pPr>
              <w:tabs>
                <w:tab w:val="left" w:pos="426"/>
              </w:tabs>
              <w:jc w:val="center"/>
              <w:rPr>
                <w:b/>
                <w:smallCaps/>
                <w:color w:val="581D74"/>
                <w:sz w:val="19"/>
                <w:szCs w:val="19"/>
              </w:rPr>
            </w:pPr>
            <w:r>
              <w:rPr>
                <w:b/>
                <w:bCs/>
                <w:smallCaps/>
                <w:color w:val="581D74"/>
                <w:sz w:val="19"/>
                <w:szCs w:val="19"/>
              </w:rPr>
              <w:t>T3-14</w:t>
            </w:r>
            <w:r w:rsidRPr="005E14CD">
              <w:rPr>
                <w:b/>
                <w:bCs/>
                <w:smallCaps/>
                <w:color w:val="581D74"/>
                <w:sz w:val="19"/>
                <w:szCs w:val="19"/>
              </w:rPr>
              <w:t xml:space="preserve"> / </w:t>
            </w:r>
            <w:r w:rsidRPr="005E14CD">
              <w:rPr>
                <w:b/>
                <w:bCs/>
                <w:smallCaps/>
                <w:color w:val="581D74"/>
                <w:sz w:val="19"/>
                <w:szCs w:val="19"/>
              </w:rPr>
              <w:br/>
              <w:t>T3-1</w:t>
            </w:r>
            <w:r>
              <w:rPr>
                <w:b/>
                <w:bCs/>
                <w:smallCaps/>
                <w:color w:val="581D74"/>
                <w:sz w:val="19"/>
                <w:szCs w:val="19"/>
              </w:rPr>
              <w:t>3</w:t>
            </w:r>
          </w:p>
        </w:tc>
      </w:tr>
      <w:tr w:rsidR="00AD6429" w:rsidRPr="00D61D41">
        <w:trPr>
          <w:trHeight w:val="510"/>
        </w:trPr>
        <w:tc>
          <w:tcPr>
            <w:tcW w:w="4422" w:type="dxa"/>
            <w:tcBorders>
              <w:top w:val="single" w:sz="8" w:space="0" w:color="581D74"/>
              <w:left w:val="single" w:sz="8" w:space="0" w:color="581D74"/>
              <w:bottom w:val="single" w:sz="8" w:space="0" w:color="581D74"/>
              <w:right w:val="single" w:sz="8" w:space="0" w:color="581D74"/>
            </w:tcBorders>
            <w:shd w:val="clear" w:color="auto" w:fill="auto"/>
            <w:vAlign w:val="center"/>
          </w:tcPr>
          <w:p w:rsidR="00AD6429" w:rsidRPr="0003076B" w:rsidRDefault="00AD6429" w:rsidP="00A44E53">
            <w:pPr>
              <w:rPr>
                <w:color w:val="581D74"/>
                <w:sz w:val="16"/>
                <w:szCs w:val="16"/>
              </w:rPr>
            </w:pPr>
            <w:r w:rsidRPr="005E14CD">
              <w:rPr>
                <w:color w:val="581D74"/>
                <w:sz w:val="19"/>
                <w:szCs w:val="19"/>
              </w:rPr>
              <w:t>Produit net bancaire</w:t>
            </w:r>
            <w:r>
              <w:rPr>
                <w:color w:val="581D74"/>
                <w:sz w:val="19"/>
                <w:szCs w:val="19"/>
              </w:rPr>
              <w:t xml:space="preserve">** </w:t>
            </w:r>
          </w:p>
        </w:tc>
        <w:tc>
          <w:tcPr>
            <w:tcW w:w="1247" w:type="dxa"/>
            <w:tcBorders>
              <w:top w:val="single" w:sz="8" w:space="0" w:color="581D74"/>
              <w:left w:val="single" w:sz="8" w:space="0" w:color="581D74"/>
              <w:bottom w:val="single" w:sz="8" w:space="0" w:color="581D74"/>
              <w:right w:val="single" w:sz="8" w:space="0" w:color="581D74"/>
            </w:tcBorders>
            <w:shd w:val="clear" w:color="auto" w:fill="EAE7EC"/>
            <w:vAlign w:val="center"/>
          </w:tcPr>
          <w:p w:rsidR="00AD6429" w:rsidRPr="009F5FE6" w:rsidRDefault="00AD6429" w:rsidP="00A44E53">
            <w:pPr>
              <w:jc w:val="right"/>
              <w:rPr>
                <w:sz w:val="18"/>
                <w:szCs w:val="19"/>
              </w:rPr>
            </w:pPr>
            <w:r w:rsidRPr="009F5FE6">
              <w:rPr>
                <w:sz w:val="18"/>
                <w:szCs w:val="19"/>
              </w:rPr>
              <w:t>5 839</w:t>
            </w:r>
          </w:p>
        </w:tc>
        <w:tc>
          <w:tcPr>
            <w:tcW w:w="1277" w:type="dxa"/>
            <w:tcBorders>
              <w:top w:val="single" w:sz="8" w:space="0" w:color="581D74"/>
              <w:left w:val="single" w:sz="8" w:space="0" w:color="581D74"/>
              <w:bottom w:val="single" w:sz="8" w:space="0" w:color="581D74"/>
              <w:right w:val="single" w:sz="8" w:space="0" w:color="581D74"/>
            </w:tcBorders>
            <w:shd w:val="clear" w:color="auto" w:fill="auto"/>
            <w:vAlign w:val="center"/>
          </w:tcPr>
          <w:p w:rsidR="00AD6429" w:rsidRPr="009F5FE6" w:rsidRDefault="00AD6429" w:rsidP="00A44E53">
            <w:pPr>
              <w:jc w:val="right"/>
              <w:rPr>
                <w:sz w:val="18"/>
                <w:szCs w:val="19"/>
              </w:rPr>
            </w:pPr>
            <w:r w:rsidRPr="009F5FE6">
              <w:rPr>
                <w:sz w:val="18"/>
                <w:szCs w:val="19"/>
              </w:rPr>
              <w:t>+ 3,2 %</w:t>
            </w:r>
          </w:p>
        </w:tc>
        <w:tc>
          <w:tcPr>
            <w:tcW w:w="253" w:type="dxa"/>
            <w:tcBorders>
              <w:top w:val="nil"/>
              <w:left w:val="single" w:sz="8" w:space="0" w:color="581D74"/>
              <w:bottom w:val="nil"/>
              <w:right w:val="single" w:sz="8" w:space="0" w:color="581D74"/>
            </w:tcBorders>
            <w:vAlign w:val="center"/>
          </w:tcPr>
          <w:p w:rsidR="00AD6429" w:rsidRPr="009F5FE6" w:rsidRDefault="00AD6429" w:rsidP="00A44E53">
            <w:pPr>
              <w:jc w:val="right"/>
              <w:rPr>
                <w:sz w:val="18"/>
                <w:szCs w:val="19"/>
              </w:rPr>
            </w:pPr>
          </w:p>
        </w:tc>
        <w:tc>
          <w:tcPr>
            <w:tcW w:w="1247" w:type="dxa"/>
            <w:tcBorders>
              <w:top w:val="single" w:sz="8" w:space="0" w:color="581D74"/>
              <w:left w:val="single" w:sz="8" w:space="0" w:color="581D74"/>
              <w:bottom w:val="single" w:sz="8" w:space="0" w:color="581D74"/>
              <w:right w:val="single" w:sz="8" w:space="0" w:color="581D74"/>
            </w:tcBorders>
            <w:shd w:val="clear" w:color="auto" w:fill="auto"/>
            <w:tcMar>
              <w:top w:w="57" w:type="dxa"/>
              <w:left w:w="113" w:type="dxa"/>
              <w:bottom w:w="57" w:type="dxa"/>
              <w:right w:w="113" w:type="dxa"/>
            </w:tcMar>
            <w:vAlign w:val="center"/>
          </w:tcPr>
          <w:p w:rsidR="00AD6429" w:rsidRPr="009F5FE6" w:rsidRDefault="00AD6429" w:rsidP="00A44E53">
            <w:pPr>
              <w:jc w:val="right"/>
              <w:rPr>
                <w:sz w:val="18"/>
                <w:szCs w:val="19"/>
              </w:rPr>
            </w:pPr>
            <w:r w:rsidRPr="009F5FE6">
              <w:rPr>
                <w:sz w:val="18"/>
                <w:szCs w:val="19"/>
              </w:rPr>
              <w:t>5 449</w:t>
            </w:r>
          </w:p>
        </w:tc>
        <w:tc>
          <w:tcPr>
            <w:tcW w:w="1247" w:type="dxa"/>
            <w:tcBorders>
              <w:top w:val="single" w:sz="8" w:space="0" w:color="581D74"/>
              <w:left w:val="single" w:sz="8" w:space="0" w:color="581D74"/>
              <w:bottom w:val="single" w:sz="8" w:space="0" w:color="581D74"/>
              <w:right w:val="single" w:sz="8" w:space="0" w:color="581D74"/>
            </w:tcBorders>
            <w:shd w:val="clear" w:color="auto" w:fill="auto"/>
            <w:tcMar>
              <w:top w:w="57" w:type="dxa"/>
              <w:left w:w="113" w:type="dxa"/>
              <w:bottom w:w="57" w:type="dxa"/>
              <w:right w:w="113" w:type="dxa"/>
            </w:tcMar>
            <w:vAlign w:val="center"/>
          </w:tcPr>
          <w:p w:rsidR="00AD6429" w:rsidRPr="009F5FE6" w:rsidRDefault="00AD6429" w:rsidP="00A44E53">
            <w:pPr>
              <w:jc w:val="right"/>
              <w:rPr>
                <w:sz w:val="18"/>
                <w:szCs w:val="19"/>
              </w:rPr>
            </w:pPr>
            <w:r w:rsidRPr="009F5FE6">
              <w:rPr>
                <w:sz w:val="18"/>
                <w:szCs w:val="19"/>
              </w:rPr>
              <w:t>+ 2,4 %</w:t>
            </w:r>
          </w:p>
        </w:tc>
      </w:tr>
      <w:tr w:rsidR="00AD6429" w:rsidRPr="00D61D41">
        <w:trPr>
          <w:trHeight w:val="510"/>
        </w:trPr>
        <w:tc>
          <w:tcPr>
            <w:tcW w:w="4422" w:type="dxa"/>
            <w:tcBorders>
              <w:top w:val="single" w:sz="8" w:space="0" w:color="581D74"/>
              <w:left w:val="single" w:sz="8" w:space="0" w:color="581D74"/>
              <w:bottom w:val="single" w:sz="8" w:space="0" w:color="581D74"/>
              <w:right w:val="single" w:sz="8" w:space="0" w:color="581D74"/>
            </w:tcBorders>
            <w:shd w:val="clear" w:color="auto" w:fill="auto"/>
            <w:vAlign w:val="center"/>
          </w:tcPr>
          <w:p w:rsidR="00AD6429" w:rsidRPr="005E14CD" w:rsidRDefault="00AD6429" w:rsidP="00A44E53">
            <w:pPr>
              <w:rPr>
                <w:color w:val="581D74"/>
                <w:sz w:val="19"/>
                <w:szCs w:val="19"/>
              </w:rPr>
            </w:pPr>
            <w:r w:rsidRPr="005E14CD">
              <w:rPr>
                <w:color w:val="581D74"/>
                <w:sz w:val="19"/>
                <w:szCs w:val="19"/>
              </w:rPr>
              <w:t>Frais de gestion</w:t>
            </w:r>
          </w:p>
        </w:tc>
        <w:tc>
          <w:tcPr>
            <w:tcW w:w="1247" w:type="dxa"/>
            <w:tcBorders>
              <w:top w:val="single" w:sz="8" w:space="0" w:color="581D74"/>
              <w:left w:val="single" w:sz="8" w:space="0" w:color="581D74"/>
              <w:bottom w:val="single" w:sz="8" w:space="0" w:color="581D74"/>
              <w:right w:val="single" w:sz="8" w:space="0" w:color="581D74"/>
            </w:tcBorders>
            <w:shd w:val="clear" w:color="auto" w:fill="EAE7EC"/>
            <w:vAlign w:val="center"/>
          </w:tcPr>
          <w:p w:rsidR="00AD6429" w:rsidRPr="009F5FE6" w:rsidRDefault="00AD6429" w:rsidP="00A44E53">
            <w:pPr>
              <w:jc w:val="right"/>
              <w:rPr>
                <w:sz w:val="18"/>
                <w:szCs w:val="19"/>
              </w:rPr>
            </w:pPr>
            <w:r w:rsidRPr="009F5FE6">
              <w:rPr>
                <w:sz w:val="18"/>
                <w:szCs w:val="19"/>
              </w:rPr>
              <w:t>-3 921</w:t>
            </w:r>
          </w:p>
        </w:tc>
        <w:tc>
          <w:tcPr>
            <w:tcW w:w="1277" w:type="dxa"/>
            <w:tcBorders>
              <w:top w:val="single" w:sz="8" w:space="0" w:color="581D74"/>
              <w:left w:val="single" w:sz="8" w:space="0" w:color="581D74"/>
              <w:bottom w:val="single" w:sz="8" w:space="0" w:color="581D74"/>
              <w:right w:val="single" w:sz="8" w:space="0" w:color="581D74"/>
            </w:tcBorders>
            <w:shd w:val="clear" w:color="auto" w:fill="auto"/>
            <w:vAlign w:val="center"/>
          </w:tcPr>
          <w:p w:rsidR="00AD6429" w:rsidRPr="009F5FE6" w:rsidRDefault="00AD6429" w:rsidP="00A44E53">
            <w:pPr>
              <w:jc w:val="right"/>
              <w:rPr>
                <w:sz w:val="18"/>
                <w:szCs w:val="19"/>
              </w:rPr>
            </w:pPr>
            <w:r w:rsidRPr="009F5FE6">
              <w:rPr>
                <w:sz w:val="18"/>
                <w:szCs w:val="19"/>
              </w:rPr>
              <w:t>+ 0,2 %</w:t>
            </w:r>
            <w:r w:rsidRPr="009F5FE6">
              <w:rPr>
                <w:i/>
                <w:iCs/>
                <w:sz w:val="18"/>
                <w:szCs w:val="19"/>
              </w:rPr>
              <w:t xml:space="preserve"> </w:t>
            </w:r>
          </w:p>
        </w:tc>
        <w:tc>
          <w:tcPr>
            <w:tcW w:w="253" w:type="dxa"/>
            <w:vMerge w:val="restart"/>
            <w:tcBorders>
              <w:top w:val="nil"/>
              <w:left w:val="single" w:sz="8" w:space="0" w:color="581D74"/>
              <w:bottom w:val="nil"/>
              <w:right w:val="single" w:sz="8" w:space="0" w:color="581D74"/>
            </w:tcBorders>
            <w:vAlign w:val="center"/>
          </w:tcPr>
          <w:p w:rsidR="00AD6429" w:rsidRPr="009F5FE6" w:rsidRDefault="00AD6429" w:rsidP="00A44E53">
            <w:pPr>
              <w:jc w:val="right"/>
              <w:rPr>
                <w:sz w:val="18"/>
                <w:szCs w:val="19"/>
              </w:rPr>
            </w:pPr>
          </w:p>
        </w:tc>
        <w:tc>
          <w:tcPr>
            <w:tcW w:w="1247" w:type="dxa"/>
            <w:tcBorders>
              <w:top w:val="single" w:sz="8" w:space="0" w:color="581D74"/>
              <w:left w:val="single" w:sz="8" w:space="0" w:color="581D74"/>
              <w:bottom w:val="single" w:sz="8" w:space="0" w:color="581D74"/>
              <w:right w:val="single" w:sz="8" w:space="0" w:color="581D74"/>
            </w:tcBorders>
            <w:shd w:val="clear" w:color="auto" w:fill="auto"/>
            <w:tcMar>
              <w:top w:w="57" w:type="dxa"/>
              <w:left w:w="113" w:type="dxa"/>
              <w:bottom w:w="57" w:type="dxa"/>
              <w:right w:w="113" w:type="dxa"/>
            </w:tcMar>
            <w:vAlign w:val="center"/>
          </w:tcPr>
          <w:p w:rsidR="00AD6429" w:rsidRPr="009F5FE6" w:rsidRDefault="00AD6429" w:rsidP="00A44E53">
            <w:pPr>
              <w:jc w:val="right"/>
              <w:rPr>
                <w:sz w:val="18"/>
                <w:szCs w:val="19"/>
              </w:rPr>
            </w:pPr>
            <w:r w:rsidRPr="009F5FE6">
              <w:rPr>
                <w:sz w:val="18"/>
                <w:szCs w:val="19"/>
              </w:rPr>
              <w:t>- 3 498</w:t>
            </w:r>
          </w:p>
        </w:tc>
        <w:tc>
          <w:tcPr>
            <w:tcW w:w="1247" w:type="dxa"/>
            <w:tcBorders>
              <w:top w:val="single" w:sz="8" w:space="0" w:color="581D74"/>
              <w:left w:val="single" w:sz="8" w:space="0" w:color="581D74"/>
              <w:bottom w:val="single" w:sz="8" w:space="0" w:color="581D74"/>
              <w:right w:val="single" w:sz="8" w:space="0" w:color="581D74"/>
            </w:tcBorders>
            <w:shd w:val="clear" w:color="auto" w:fill="auto"/>
            <w:tcMar>
              <w:top w:w="57" w:type="dxa"/>
              <w:left w:w="113" w:type="dxa"/>
              <w:bottom w:w="57" w:type="dxa"/>
              <w:right w:w="113" w:type="dxa"/>
            </w:tcMar>
            <w:vAlign w:val="center"/>
          </w:tcPr>
          <w:p w:rsidR="00AD6429" w:rsidRPr="009F5FE6" w:rsidRDefault="00AD6429" w:rsidP="00A44E53">
            <w:pPr>
              <w:jc w:val="right"/>
              <w:rPr>
                <w:sz w:val="18"/>
                <w:szCs w:val="19"/>
              </w:rPr>
            </w:pPr>
            <w:r w:rsidRPr="009F5FE6">
              <w:rPr>
                <w:sz w:val="18"/>
                <w:szCs w:val="19"/>
              </w:rPr>
              <w:t>+ 0,0 %</w:t>
            </w:r>
            <w:r w:rsidRPr="009F5FE6">
              <w:rPr>
                <w:i/>
                <w:iCs/>
                <w:sz w:val="18"/>
                <w:szCs w:val="19"/>
              </w:rPr>
              <w:t xml:space="preserve"> </w:t>
            </w:r>
          </w:p>
        </w:tc>
      </w:tr>
      <w:tr w:rsidR="00AD6429" w:rsidRPr="00D61D41">
        <w:trPr>
          <w:trHeight w:val="510"/>
        </w:trPr>
        <w:tc>
          <w:tcPr>
            <w:tcW w:w="4422" w:type="dxa"/>
            <w:tcBorders>
              <w:top w:val="single" w:sz="8" w:space="0" w:color="581D74"/>
              <w:left w:val="single" w:sz="8" w:space="0" w:color="581D74"/>
              <w:bottom w:val="single" w:sz="8" w:space="0" w:color="581D74"/>
              <w:right w:val="single" w:sz="8" w:space="0" w:color="581D74"/>
            </w:tcBorders>
            <w:shd w:val="clear" w:color="auto" w:fill="auto"/>
            <w:vAlign w:val="center"/>
          </w:tcPr>
          <w:p w:rsidR="00AD6429" w:rsidRPr="005E14CD" w:rsidRDefault="00AD6429" w:rsidP="00A44E53">
            <w:pPr>
              <w:rPr>
                <w:b/>
                <w:color w:val="581D74"/>
                <w:sz w:val="19"/>
                <w:szCs w:val="19"/>
              </w:rPr>
            </w:pPr>
            <w:r w:rsidRPr="005E14CD">
              <w:rPr>
                <w:b/>
                <w:bCs/>
                <w:i/>
                <w:iCs/>
                <w:color w:val="581D74"/>
                <w:sz w:val="19"/>
                <w:szCs w:val="19"/>
              </w:rPr>
              <w:t>Résultat brut d’exploitation</w:t>
            </w:r>
            <w:r w:rsidRPr="0003076B">
              <w:rPr>
                <w:iCs/>
                <w:color w:val="581D74"/>
                <w:sz w:val="16"/>
                <w:szCs w:val="16"/>
              </w:rPr>
              <w:t xml:space="preserve"> </w:t>
            </w:r>
            <w:r>
              <w:rPr>
                <w:iCs/>
                <w:color w:val="581D74"/>
                <w:sz w:val="16"/>
                <w:szCs w:val="16"/>
              </w:rPr>
              <w:t>**</w:t>
            </w:r>
          </w:p>
          <w:p w:rsidR="00AD6429" w:rsidRPr="001923FC" w:rsidRDefault="00AD6429" w:rsidP="00A44E53">
            <w:pPr>
              <w:rPr>
                <w:b/>
                <w:color w:val="000000"/>
                <w:sz w:val="19"/>
                <w:szCs w:val="19"/>
              </w:rPr>
            </w:pPr>
            <w:r w:rsidRPr="001923FC">
              <w:rPr>
                <w:b/>
                <w:bCs/>
                <w:i/>
                <w:iCs/>
                <w:color w:val="000000"/>
                <w:sz w:val="19"/>
                <w:szCs w:val="19"/>
              </w:rPr>
              <w:t>Coefficient d’exploitation</w:t>
            </w:r>
          </w:p>
        </w:tc>
        <w:tc>
          <w:tcPr>
            <w:tcW w:w="1247" w:type="dxa"/>
            <w:tcBorders>
              <w:top w:val="single" w:sz="8" w:space="0" w:color="581D74"/>
              <w:left w:val="single" w:sz="8" w:space="0" w:color="581D74"/>
              <w:bottom w:val="single" w:sz="8" w:space="0" w:color="581D74"/>
              <w:right w:val="single" w:sz="8" w:space="0" w:color="581D74"/>
            </w:tcBorders>
            <w:shd w:val="clear" w:color="auto" w:fill="EAE7EC"/>
            <w:vAlign w:val="center"/>
          </w:tcPr>
          <w:p w:rsidR="00AD6429" w:rsidRPr="009F5FE6" w:rsidRDefault="00AD6429" w:rsidP="00A44E53">
            <w:pPr>
              <w:jc w:val="right"/>
              <w:rPr>
                <w:b/>
                <w:bCs/>
                <w:i/>
                <w:iCs/>
                <w:sz w:val="18"/>
                <w:szCs w:val="19"/>
              </w:rPr>
            </w:pPr>
            <w:r w:rsidRPr="009F5FE6">
              <w:rPr>
                <w:b/>
                <w:bCs/>
                <w:i/>
                <w:iCs/>
                <w:sz w:val="18"/>
                <w:szCs w:val="19"/>
              </w:rPr>
              <w:t>1 918</w:t>
            </w:r>
          </w:p>
          <w:p w:rsidR="00AD6429" w:rsidRPr="009F5FE6" w:rsidRDefault="00AD6429" w:rsidP="00A44E53">
            <w:pPr>
              <w:jc w:val="right"/>
              <w:rPr>
                <w:b/>
                <w:sz w:val="18"/>
                <w:szCs w:val="19"/>
              </w:rPr>
            </w:pPr>
            <w:r w:rsidRPr="009F5FE6">
              <w:rPr>
                <w:b/>
                <w:bCs/>
                <w:i/>
                <w:iCs/>
                <w:sz w:val="18"/>
                <w:szCs w:val="19"/>
              </w:rPr>
              <w:t>67,1 %</w:t>
            </w:r>
          </w:p>
        </w:tc>
        <w:tc>
          <w:tcPr>
            <w:tcW w:w="1277" w:type="dxa"/>
            <w:tcBorders>
              <w:top w:val="single" w:sz="8" w:space="0" w:color="581D74"/>
              <w:left w:val="single" w:sz="8" w:space="0" w:color="581D74"/>
              <w:bottom w:val="single" w:sz="8" w:space="0" w:color="581D74"/>
              <w:right w:val="single" w:sz="8" w:space="0" w:color="581D74"/>
            </w:tcBorders>
            <w:shd w:val="clear" w:color="auto" w:fill="auto"/>
            <w:vAlign w:val="center"/>
          </w:tcPr>
          <w:p w:rsidR="00AD6429" w:rsidRPr="009F5FE6" w:rsidRDefault="00AD6429" w:rsidP="00A44E53">
            <w:pPr>
              <w:jc w:val="right"/>
              <w:rPr>
                <w:b/>
                <w:sz w:val="18"/>
                <w:szCs w:val="19"/>
              </w:rPr>
            </w:pPr>
            <w:r w:rsidRPr="009F5FE6">
              <w:rPr>
                <w:b/>
                <w:bCs/>
                <w:i/>
                <w:iCs/>
                <w:sz w:val="18"/>
                <w:szCs w:val="19"/>
              </w:rPr>
              <w:t xml:space="preserve">+ 10,0 % </w:t>
            </w:r>
          </w:p>
          <w:p w:rsidR="00AD6429" w:rsidRPr="009F5FE6" w:rsidRDefault="00AD6429" w:rsidP="00A44E53">
            <w:pPr>
              <w:ind w:left="30"/>
              <w:jc w:val="right"/>
              <w:rPr>
                <w:b/>
                <w:sz w:val="18"/>
                <w:szCs w:val="19"/>
              </w:rPr>
            </w:pPr>
            <w:r w:rsidRPr="009F5FE6">
              <w:rPr>
                <w:b/>
                <w:bCs/>
                <w:i/>
                <w:iCs/>
                <w:sz w:val="18"/>
                <w:szCs w:val="19"/>
              </w:rPr>
              <w:t>- 2,0 pts</w:t>
            </w:r>
          </w:p>
        </w:tc>
        <w:tc>
          <w:tcPr>
            <w:tcW w:w="253" w:type="dxa"/>
            <w:vMerge/>
            <w:tcBorders>
              <w:top w:val="nil"/>
              <w:left w:val="single" w:sz="8" w:space="0" w:color="581D74"/>
              <w:bottom w:val="nil"/>
              <w:right w:val="single" w:sz="8" w:space="0" w:color="581D74"/>
            </w:tcBorders>
            <w:vAlign w:val="center"/>
          </w:tcPr>
          <w:p w:rsidR="00AD6429" w:rsidRPr="00A52285" w:rsidRDefault="00AD6429" w:rsidP="00A44E53">
            <w:pPr>
              <w:jc w:val="right"/>
              <w:rPr>
                <w:b/>
                <w:color w:val="FF0000"/>
                <w:sz w:val="18"/>
                <w:szCs w:val="19"/>
              </w:rPr>
            </w:pPr>
          </w:p>
        </w:tc>
        <w:tc>
          <w:tcPr>
            <w:tcW w:w="1247" w:type="dxa"/>
            <w:tcBorders>
              <w:top w:val="single" w:sz="8" w:space="0" w:color="581D74"/>
              <w:left w:val="single" w:sz="8" w:space="0" w:color="581D74"/>
              <w:bottom w:val="single" w:sz="8" w:space="0" w:color="581D74"/>
              <w:right w:val="single" w:sz="8" w:space="0" w:color="581D74"/>
            </w:tcBorders>
            <w:shd w:val="clear" w:color="auto" w:fill="auto"/>
            <w:tcMar>
              <w:top w:w="57" w:type="dxa"/>
              <w:left w:w="113" w:type="dxa"/>
              <w:bottom w:w="57" w:type="dxa"/>
              <w:right w:w="113" w:type="dxa"/>
            </w:tcMar>
            <w:vAlign w:val="center"/>
          </w:tcPr>
          <w:p w:rsidR="00AD6429" w:rsidRPr="009F5FE6" w:rsidRDefault="00AD6429" w:rsidP="00A44E53">
            <w:pPr>
              <w:jc w:val="right"/>
              <w:rPr>
                <w:b/>
                <w:bCs/>
                <w:i/>
                <w:iCs/>
                <w:sz w:val="18"/>
                <w:szCs w:val="19"/>
              </w:rPr>
            </w:pPr>
            <w:r w:rsidRPr="009F5FE6">
              <w:rPr>
                <w:b/>
                <w:bCs/>
                <w:i/>
                <w:iCs/>
                <w:sz w:val="18"/>
                <w:szCs w:val="19"/>
              </w:rPr>
              <w:t>1 950</w:t>
            </w:r>
          </w:p>
          <w:p w:rsidR="00AD6429" w:rsidRPr="009F5FE6" w:rsidRDefault="00AD6429" w:rsidP="00A44E53">
            <w:pPr>
              <w:jc w:val="right"/>
              <w:rPr>
                <w:b/>
                <w:sz w:val="18"/>
                <w:szCs w:val="19"/>
              </w:rPr>
            </w:pPr>
            <w:r w:rsidRPr="009F5FE6">
              <w:rPr>
                <w:b/>
                <w:bCs/>
                <w:i/>
                <w:iCs/>
                <w:sz w:val="18"/>
                <w:szCs w:val="19"/>
              </w:rPr>
              <w:t>64,2 %</w:t>
            </w:r>
          </w:p>
        </w:tc>
        <w:tc>
          <w:tcPr>
            <w:tcW w:w="1247" w:type="dxa"/>
            <w:tcBorders>
              <w:top w:val="single" w:sz="8" w:space="0" w:color="581D74"/>
              <w:left w:val="single" w:sz="8" w:space="0" w:color="581D74"/>
              <w:bottom w:val="single" w:sz="8" w:space="0" w:color="581D74"/>
              <w:right w:val="single" w:sz="8" w:space="0" w:color="581D74"/>
            </w:tcBorders>
            <w:shd w:val="clear" w:color="auto" w:fill="auto"/>
            <w:tcMar>
              <w:top w:w="57" w:type="dxa"/>
              <w:left w:w="113" w:type="dxa"/>
              <w:bottom w:w="57" w:type="dxa"/>
              <w:right w:w="113" w:type="dxa"/>
            </w:tcMar>
            <w:vAlign w:val="center"/>
          </w:tcPr>
          <w:p w:rsidR="00AD6429" w:rsidRPr="009F5FE6" w:rsidRDefault="00AD6429" w:rsidP="00A44E53">
            <w:pPr>
              <w:jc w:val="right"/>
              <w:rPr>
                <w:b/>
                <w:bCs/>
                <w:i/>
                <w:iCs/>
                <w:sz w:val="18"/>
                <w:szCs w:val="19"/>
              </w:rPr>
            </w:pPr>
            <w:r w:rsidRPr="009F5FE6">
              <w:rPr>
                <w:b/>
                <w:bCs/>
                <w:i/>
                <w:iCs/>
                <w:sz w:val="18"/>
                <w:szCs w:val="19"/>
              </w:rPr>
              <w:t>+ 7,1 %</w:t>
            </w:r>
          </w:p>
          <w:p w:rsidR="00AD6429" w:rsidRPr="009F5FE6" w:rsidRDefault="00AD6429" w:rsidP="00A44E53">
            <w:pPr>
              <w:ind w:left="88"/>
              <w:jc w:val="right"/>
              <w:rPr>
                <w:b/>
                <w:bCs/>
                <w:i/>
                <w:iCs/>
                <w:sz w:val="18"/>
                <w:szCs w:val="19"/>
              </w:rPr>
            </w:pPr>
            <w:r w:rsidRPr="009F5FE6">
              <w:rPr>
                <w:b/>
                <w:bCs/>
                <w:i/>
                <w:iCs/>
                <w:sz w:val="18"/>
                <w:szCs w:val="19"/>
              </w:rPr>
              <w:t>- 1,5 pt</w:t>
            </w:r>
          </w:p>
        </w:tc>
      </w:tr>
      <w:tr w:rsidR="00AD6429" w:rsidRPr="00D61D41">
        <w:trPr>
          <w:trHeight w:val="510"/>
        </w:trPr>
        <w:tc>
          <w:tcPr>
            <w:tcW w:w="4422" w:type="dxa"/>
            <w:tcBorders>
              <w:top w:val="single" w:sz="8" w:space="0" w:color="581D74"/>
              <w:left w:val="single" w:sz="8" w:space="0" w:color="581D74"/>
              <w:bottom w:val="single" w:sz="8" w:space="0" w:color="581D74"/>
              <w:right w:val="single" w:sz="8" w:space="0" w:color="581D74"/>
            </w:tcBorders>
            <w:shd w:val="clear" w:color="auto" w:fill="auto"/>
            <w:vAlign w:val="center"/>
          </w:tcPr>
          <w:p w:rsidR="00AD6429" w:rsidRPr="005E14CD" w:rsidRDefault="00AD6429" w:rsidP="00A44E53">
            <w:pPr>
              <w:rPr>
                <w:color w:val="581D74"/>
                <w:sz w:val="19"/>
                <w:szCs w:val="19"/>
              </w:rPr>
            </w:pPr>
            <w:r w:rsidRPr="005E14CD">
              <w:rPr>
                <w:color w:val="581D74"/>
                <w:sz w:val="19"/>
                <w:szCs w:val="19"/>
              </w:rPr>
              <w:t>Coût du risque</w:t>
            </w:r>
          </w:p>
        </w:tc>
        <w:tc>
          <w:tcPr>
            <w:tcW w:w="1247" w:type="dxa"/>
            <w:tcBorders>
              <w:top w:val="single" w:sz="8" w:space="0" w:color="581D74"/>
              <w:left w:val="single" w:sz="8" w:space="0" w:color="581D74"/>
              <w:bottom w:val="single" w:sz="8" w:space="0" w:color="581D74"/>
              <w:right w:val="single" w:sz="8" w:space="0" w:color="581D74"/>
            </w:tcBorders>
            <w:shd w:val="clear" w:color="auto" w:fill="EAE7EC"/>
            <w:vAlign w:val="center"/>
          </w:tcPr>
          <w:p w:rsidR="00AD6429" w:rsidRPr="009F5FE6" w:rsidRDefault="00AD6429" w:rsidP="00A44E53">
            <w:pPr>
              <w:jc w:val="right"/>
              <w:rPr>
                <w:sz w:val="18"/>
                <w:szCs w:val="19"/>
              </w:rPr>
            </w:pPr>
            <w:r w:rsidRPr="009F5FE6">
              <w:rPr>
                <w:sz w:val="18"/>
                <w:szCs w:val="19"/>
              </w:rPr>
              <w:t>- 412</w:t>
            </w:r>
          </w:p>
        </w:tc>
        <w:tc>
          <w:tcPr>
            <w:tcW w:w="1277" w:type="dxa"/>
            <w:tcBorders>
              <w:top w:val="single" w:sz="8" w:space="0" w:color="581D74"/>
              <w:left w:val="single" w:sz="8" w:space="0" w:color="581D74"/>
              <w:bottom w:val="single" w:sz="8" w:space="0" w:color="581D74"/>
              <w:right w:val="single" w:sz="8" w:space="0" w:color="581D74"/>
            </w:tcBorders>
            <w:shd w:val="clear" w:color="auto" w:fill="auto"/>
            <w:vAlign w:val="center"/>
          </w:tcPr>
          <w:p w:rsidR="00AD6429" w:rsidRPr="009F5FE6" w:rsidRDefault="00AD6429" w:rsidP="00A44E53">
            <w:pPr>
              <w:jc w:val="right"/>
              <w:rPr>
                <w:sz w:val="18"/>
                <w:szCs w:val="19"/>
              </w:rPr>
            </w:pPr>
            <w:r w:rsidRPr="009F5FE6">
              <w:rPr>
                <w:sz w:val="18"/>
                <w:szCs w:val="19"/>
              </w:rPr>
              <w:t>- 10,1 %</w:t>
            </w:r>
          </w:p>
        </w:tc>
        <w:tc>
          <w:tcPr>
            <w:tcW w:w="253" w:type="dxa"/>
            <w:vMerge/>
            <w:tcBorders>
              <w:top w:val="nil"/>
              <w:left w:val="single" w:sz="8" w:space="0" w:color="581D74"/>
              <w:bottom w:val="nil"/>
              <w:right w:val="single" w:sz="8" w:space="0" w:color="581D74"/>
            </w:tcBorders>
            <w:vAlign w:val="center"/>
          </w:tcPr>
          <w:p w:rsidR="00AD6429" w:rsidRPr="009F5FE6" w:rsidRDefault="00AD6429" w:rsidP="00A44E53">
            <w:pPr>
              <w:jc w:val="right"/>
              <w:rPr>
                <w:sz w:val="18"/>
                <w:szCs w:val="19"/>
              </w:rPr>
            </w:pPr>
          </w:p>
        </w:tc>
        <w:tc>
          <w:tcPr>
            <w:tcW w:w="1247" w:type="dxa"/>
            <w:tcBorders>
              <w:top w:val="single" w:sz="8" w:space="0" w:color="581D74"/>
              <w:left w:val="single" w:sz="8" w:space="0" w:color="581D74"/>
              <w:bottom w:val="single" w:sz="8" w:space="0" w:color="581D74"/>
              <w:right w:val="single" w:sz="8" w:space="0" w:color="581D74"/>
            </w:tcBorders>
            <w:shd w:val="clear" w:color="auto" w:fill="auto"/>
            <w:tcMar>
              <w:top w:w="57" w:type="dxa"/>
              <w:left w:w="113" w:type="dxa"/>
              <w:bottom w:w="57" w:type="dxa"/>
              <w:right w:w="113" w:type="dxa"/>
            </w:tcMar>
            <w:vAlign w:val="center"/>
          </w:tcPr>
          <w:p w:rsidR="00AD6429" w:rsidRPr="009F5FE6" w:rsidRDefault="00AD6429" w:rsidP="00A44E53">
            <w:pPr>
              <w:jc w:val="right"/>
              <w:rPr>
                <w:sz w:val="18"/>
                <w:szCs w:val="19"/>
              </w:rPr>
            </w:pPr>
            <w:r w:rsidRPr="009F5FE6">
              <w:rPr>
                <w:sz w:val="18"/>
                <w:szCs w:val="19"/>
              </w:rPr>
              <w:t>- 385</w:t>
            </w:r>
          </w:p>
        </w:tc>
        <w:tc>
          <w:tcPr>
            <w:tcW w:w="1247" w:type="dxa"/>
            <w:tcBorders>
              <w:top w:val="single" w:sz="8" w:space="0" w:color="581D74"/>
              <w:left w:val="single" w:sz="8" w:space="0" w:color="581D74"/>
              <w:bottom w:val="single" w:sz="8" w:space="0" w:color="581D74"/>
              <w:right w:val="single" w:sz="8" w:space="0" w:color="581D74"/>
            </w:tcBorders>
            <w:shd w:val="clear" w:color="auto" w:fill="auto"/>
            <w:tcMar>
              <w:top w:w="57" w:type="dxa"/>
              <w:left w:w="113" w:type="dxa"/>
              <w:bottom w:w="57" w:type="dxa"/>
              <w:right w:w="113" w:type="dxa"/>
            </w:tcMar>
            <w:vAlign w:val="center"/>
          </w:tcPr>
          <w:p w:rsidR="00AD6429" w:rsidRPr="009F5FE6" w:rsidRDefault="00AD6429" w:rsidP="00A44E53">
            <w:pPr>
              <w:jc w:val="right"/>
              <w:rPr>
                <w:sz w:val="18"/>
                <w:szCs w:val="19"/>
              </w:rPr>
            </w:pPr>
            <w:r w:rsidRPr="009F5FE6">
              <w:rPr>
                <w:sz w:val="18"/>
                <w:szCs w:val="19"/>
              </w:rPr>
              <w:t>- 8,9 %</w:t>
            </w:r>
          </w:p>
        </w:tc>
      </w:tr>
      <w:tr w:rsidR="00AD6429" w:rsidRPr="00D61D41">
        <w:trPr>
          <w:trHeight w:val="510"/>
        </w:trPr>
        <w:tc>
          <w:tcPr>
            <w:tcW w:w="4422" w:type="dxa"/>
            <w:tcBorders>
              <w:top w:val="single" w:sz="8" w:space="0" w:color="581D74"/>
              <w:left w:val="single" w:sz="8" w:space="0" w:color="581D74"/>
              <w:bottom w:val="single" w:sz="8" w:space="0" w:color="581D74"/>
              <w:right w:val="single" w:sz="8" w:space="0" w:color="581D74"/>
            </w:tcBorders>
            <w:shd w:val="clear" w:color="auto" w:fill="auto"/>
            <w:vAlign w:val="center"/>
          </w:tcPr>
          <w:p w:rsidR="00AD6429" w:rsidRPr="005E14CD" w:rsidRDefault="00AD6429" w:rsidP="00A44E53">
            <w:pPr>
              <w:rPr>
                <w:b/>
                <w:color w:val="581D74"/>
                <w:sz w:val="19"/>
                <w:szCs w:val="19"/>
              </w:rPr>
            </w:pPr>
            <w:r w:rsidRPr="005E14CD">
              <w:rPr>
                <w:b/>
                <w:bCs/>
                <w:i/>
                <w:iCs/>
                <w:color w:val="581D74"/>
                <w:sz w:val="19"/>
                <w:szCs w:val="19"/>
              </w:rPr>
              <w:t>Résultat avant impôt</w:t>
            </w:r>
            <w:r>
              <w:rPr>
                <w:b/>
                <w:bCs/>
                <w:i/>
                <w:iCs/>
                <w:color w:val="581D74"/>
                <w:sz w:val="19"/>
                <w:szCs w:val="19"/>
              </w:rPr>
              <w:t>**</w:t>
            </w:r>
          </w:p>
        </w:tc>
        <w:tc>
          <w:tcPr>
            <w:tcW w:w="1247" w:type="dxa"/>
            <w:tcBorders>
              <w:top w:val="single" w:sz="8" w:space="0" w:color="581D74"/>
              <w:left w:val="single" w:sz="8" w:space="0" w:color="581D74"/>
              <w:bottom w:val="single" w:sz="8" w:space="0" w:color="581D74"/>
              <w:right w:val="single" w:sz="8" w:space="0" w:color="581D74"/>
            </w:tcBorders>
            <w:shd w:val="clear" w:color="auto" w:fill="EAE7EC"/>
            <w:vAlign w:val="center"/>
          </w:tcPr>
          <w:p w:rsidR="00AD6429" w:rsidRPr="009F5FE6" w:rsidRDefault="00AD6429" w:rsidP="00A44E53">
            <w:pPr>
              <w:jc w:val="right"/>
              <w:rPr>
                <w:b/>
                <w:sz w:val="18"/>
                <w:szCs w:val="19"/>
              </w:rPr>
            </w:pPr>
            <w:r w:rsidRPr="009F5FE6">
              <w:rPr>
                <w:b/>
                <w:bCs/>
                <w:i/>
                <w:iCs/>
                <w:sz w:val="18"/>
                <w:szCs w:val="19"/>
              </w:rPr>
              <w:t>1 543</w:t>
            </w:r>
          </w:p>
        </w:tc>
        <w:tc>
          <w:tcPr>
            <w:tcW w:w="1277" w:type="dxa"/>
            <w:tcBorders>
              <w:top w:val="single" w:sz="8" w:space="0" w:color="581D74"/>
              <w:left w:val="single" w:sz="8" w:space="0" w:color="581D74"/>
              <w:bottom w:val="single" w:sz="8" w:space="0" w:color="581D74"/>
              <w:right w:val="single" w:sz="8" w:space="0" w:color="581D74"/>
            </w:tcBorders>
            <w:shd w:val="clear" w:color="auto" w:fill="auto"/>
            <w:vAlign w:val="center"/>
          </w:tcPr>
          <w:p w:rsidR="00AD6429" w:rsidRPr="009F5FE6" w:rsidRDefault="00AD6429" w:rsidP="00A44E53">
            <w:pPr>
              <w:jc w:val="right"/>
              <w:rPr>
                <w:b/>
                <w:sz w:val="18"/>
                <w:szCs w:val="19"/>
              </w:rPr>
            </w:pPr>
            <w:r w:rsidRPr="009F5FE6">
              <w:rPr>
                <w:b/>
                <w:bCs/>
                <w:i/>
                <w:iCs/>
                <w:sz w:val="18"/>
                <w:szCs w:val="19"/>
              </w:rPr>
              <w:t>+ 15,6 %</w:t>
            </w:r>
          </w:p>
        </w:tc>
        <w:tc>
          <w:tcPr>
            <w:tcW w:w="253" w:type="dxa"/>
            <w:vMerge/>
            <w:tcBorders>
              <w:top w:val="nil"/>
              <w:left w:val="single" w:sz="8" w:space="0" w:color="581D74"/>
              <w:bottom w:val="nil"/>
              <w:right w:val="single" w:sz="8" w:space="0" w:color="581D74"/>
            </w:tcBorders>
            <w:vAlign w:val="center"/>
          </w:tcPr>
          <w:p w:rsidR="00AD6429" w:rsidRPr="009F5FE6" w:rsidRDefault="00AD6429" w:rsidP="00A44E53">
            <w:pPr>
              <w:jc w:val="right"/>
              <w:rPr>
                <w:b/>
                <w:sz w:val="18"/>
                <w:szCs w:val="19"/>
              </w:rPr>
            </w:pPr>
          </w:p>
        </w:tc>
        <w:tc>
          <w:tcPr>
            <w:tcW w:w="1247" w:type="dxa"/>
            <w:tcBorders>
              <w:top w:val="single" w:sz="8" w:space="0" w:color="581D74"/>
              <w:left w:val="single" w:sz="8" w:space="0" w:color="581D74"/>
              <w:bottom w:val="single" w:sz="8" w:space="0" w:color="581D74"/>
              <w:right w:val="single" w:sz="8" w:space="0" w:color="581D74"/>
            </w:tcBorders>
            <w:shd w:val="clear" w:color="auto" w:fill="auto"/>
            <w:tcMar>
              <w:top w:w="57" w:type="dxa"/>
              <w:left w:w="113" w:type="dxa"/>
              <w:bottom w:w="57" w:type="dxa"/>
              <w:right w:w="113" w:type="dxa"/>
            </w:tcMar>
            <w:vAlign w:val="center"/>
          </w:tcPr>
          <w:p w:rsidR="00AD6429" w:rsidRPr="009F5FE6" w:rsidRDefault="00AD6429" w:rsidP="00A44E53">
            <w:pPr>
              <w:jc w:val="right"/>
              <w:rPr>
                <w:b/>
                <w:sz w:val="18"/>
                <w:szCs w:val="19"/>
              </w:rPr>
            </w:pPr>
            <w:r w:rsidRPr="009F5FE6">
              <w:rPr>
                <w:b/>
                <w:bCs/>
                <w:i/>
                <w:iCs/>
                <w:sz w:val="18"/>
                <w:szCs w:val="19"/>
              </w:rPr>
              <w:t>1 642</w:t>
            </w:r>
          </w:p>
        </w:tc>
        <w:tc>
          <w:tcPr>
            <w:tcW w:w="1247" w:type="dxa"/>
            <w:tcBorders>
              <w:top w:val="single" w:sz="8" w:space="0" w:color="581D74"/>
              <w:left w:val="single" w:sz="8" w:space="0" w:color="581D74"/>
              <w:bottom w:val="single" w:sz="8" w:space="0" w:color="581D74"/>
              <w:right w:val="single" w:sz="8" w:space="0" w:color="581D74"/>
            </w:tcBorders>
            <w:shd w:val="clear" w:color="auto" w:fill="auto"/>
            <w:tcMar>
              <w:top w:w="57" w:type="dxa"/>
              <w:left w:w="113" w:type="dxa"/>
              <w:bottom w:w="57" w:type="dxa"/>
              <w:right w:w="113" w:type="dxa"/>
            </w:tcMar>
            <w:vAlign w:val="center"/>
          </w:tcPr>
          <w:p w:rsidR="00AD6429" w:rsidRPr="009F5FE6" w:rsidRDefault="00AD6429" w:rsidP="00A44E53">
            <w:pPr>
              <w:jc w:val="right"/>
              <w:rPr>
                <w:b/>
                <w:sz w:val="18"/>
                <w:szCs w:val="19"/>
              </w:rPr>
            </w:pPr>
            <w:r w:rsidRPr="009F5FE6">
              <w:rPr>
                <w:b/>
                <w:bCs/>
                <w:i/>
                <w:iCs/>
                <w:sz w:val="18"/>
                <w:szCs w:val="19"/>
              </w:rPr>
              <w:t>+ 13,3 %</w:t>
            </w:r>
          </w:p>
        </w:tc>
      </w:tr>
      <w:tr w:rsidR="00AD6429" w:rsidRPr="00D61D41">
        <w:trPr>
          <w:trHeight w:val="510"/>
        </w:trPr>
        <w:tc>
          <w:tcPr>
            <w:tcW w:w="4422" w:type="dxa"/>
            <w:tcBorders>
              <w:top w:val="single" w:sz="8" w:space="0" w:color="581D74"/>
              <w:left w:val="single" w:sz="8" w:space="0" w:color="581D74"/>
              <w:bottom w:val="single" w:sz="8" w:space="0" w:color="581D74"/>
              <w:right w:val="single" w:sz="8" w:space="0" w:color="581D74"/>
            </w:tcBorders>
            <w:shd w:val="clear" w:color="auto" w:fill="auto"/>
            <w:vAlign w:val="center"/>
          </w:tcPr>
          <w:p w:rsidR="00AD6429" w:rsidRDefault="00AD6429" w:rsidP="00A44E53">
            <w:pPr>
              <w:rPr>
                <w:b/>
                <w:bCs/>
                <w:color w:val="581D74"/>
                <w:sz w:val="19"/>
                <w:szCs w:val="19"/>
              </w:rPr>
            </w:pPr>
            <w:r w:rsidRPr="005E14CD">
              <w:rPr>
                <w:b/>
                <w:bCs/>
                <w:color w:val="581D74"/>
                <w:sz w:val="19"/>
                <w:szCs w:val="19"/>
              </w:rPr>
              <w:t>Résultat net part du groupe</w:t>
            </w:r>
            <w:r>
              <w:rPr>
                <w:b/>
                <w:bCs/>
                <w:color w:val="581D74"/>
                <w:sz w:val="19"/>
                <w:szCs w:val="19"/>
              </w:rPr>
              <w:t>**</w:t>
            </w:r>
          </w:p>
          <w:p w:rsidR="00AD6429" w:rsidRPr="00902863" w:rsidRDefault="00A95D2F" w:rsidP="00A44E53">
            <w:pPr>
              <w:jc w:val="right"/>
              <w:rPr>
                <w:b/>
                <w:i/>
                <w:color w:val="581D74"/>
                <w:sz w:val="19"/>
                <w:szCs w:val="19"/>
              </w:rPr>
            </w:pPr>
            <w:r>
              <w:rPr>
                <w:i/>
                <w:color w:val="581D74"/>
                <w:sz w:val="18"/>
                <w:szCs w:val="19"/>
              </w:rPr>
              <w:t xml:space="preserve">Impact </w:t>
            </w:r>
            <w:r w:rsidR="00AD6429" w:rsidRPr="00EC4E25">
              <w:rPr>
                <w:i/>
                <w:color w:val="581D74"/>
                <w:sz w:val="18"/>
                <w:szCs w:val="19"/>
              </w:rPr>
              <w:t xml:space="preserve">en résultat de la réévaluation </w:t>
            </w:r>
            <w:r w:rsidR="00D8707E">
              <w:rPr>
                <w:i/>
                <w:color w:val="581D74"/>
                <w:sz w:val="18"/>
                <w:szCs w:val="19"/>
              </w:rPr>
              <w:br/>
            </w:r>
            <w:r w:rsidR="00AD6429" w:rsidRPr="00EC4E25">
              <w:rPr>
                <w:i/>
                <w:color w:val="581D74"/>
                <w:sz w:val="18"/>
                <w:szCs w:val="19"/>
              </w:rPr>
              <w:t>de la dette propre</w:t>
            </w:r>
          </w:p>
        </w:tc>
        <w:tc>
          <w:tcPr>
            <w:tcW w:w="1247" w:type="dxa"/>
            <w:tcBorders>
              <w:top w:val="single" w:sz="8" w:space="0" w:color="581D74"/>
              <w:left w:val="single" w:sz="8" w:space="0" w:color="581D74"/>
              <w:bottom w:val="single" w:sz="8" w:space="0" w:color="581D74"/>
              <w:right w:val="single" w:sz="8" w:space="0" w:color="581D74"/>
            </w:tcBorders>
            <w:shd w:val="clear" w:color="auto" w:fill="EAE7EC"/>
            <w:vAlign w:val="center"/>
          </w:tcPr>
          <w:p w:rsidR="00AD6429" w:rsidRPr="007A20B8" w:rsidRDefault="00AD6429" w:rsidP="00A44E53">
            <w:pPr>
              <w:jc w:val="right"/>
              <w:rPr>
                <w:b/>
                <w:bCs/>
                <w:sz w:val="18"/>
                <w:szCs w:val="19"/>
              </w:rPr>
            </w:pPr>
            <w:r w:rsidRPr="007A20B8">
              <w:rPr>
                <w:b/>
                <w:bCs/>
                <w:sz w:val="18"/>
                <w:szCs w:val="19"/>
              </w:rPr>
              <w:t>810</w:t>
            </w:r>
          </w:p>
          <w:p w:rsidR="00AD6429" w:rsidRPr="007A20B8" w:rsidRDefault="00AD6429" w:rsidP="00A44E53">
            <w:pPr>
              <w:jc w:val="right"/>
              <w:rPr>
                <w:b/>
                <w:bCs/>
                <w:sz w:val="18"/>
                <w:szCs w:val="19"/>
              </w:rPr>
            </w:pPr>
          </w:p>
          <w:p w:rsidR="00AD6429" w:rsidRPr="00A52285" w:rsidRDefault="00AD6429" w:rsidP="00A44E53">
            <w:pPr>
              <w:jc w:val="right"/>
              <w:rPr>
                <w:i/>
                <w:color w:val="FF0000"/>
                <w:sz w:val="18"/>
                <w:szCs w:val="19"/>
              </w:rPr>
            </w:pPr>
            <w:r w:rsidRPr="007A20B8">
              <w:rPr>
                <w:bCs/>
                <w:i/>
                <w:sz w:val="18"/>
                <w:szCs w:val="19"/>
              </w:rPr>
              <w:t>- 89</w:t>
            </w:r>
          </w:p>
        </w:tc>
        <w:tc>
          <w:tcPr>
            <w:tcW w:w="1277" w:type="dxa"/>
            <w:tcBorders>
              <w:top w:val="single" w:sz="8" w:space="0" w:color="581D74"/>
              <w:left w:val="single" w:sz="8" w:space="0" w:color="581D74"/>
              <w:bottom w:val="single" w:sz="8" w:space="0" w:color="581D74"/>
              <w:right w:val="single" w:sz="8" w:space="0" w:color="581D74"/>
            </w:tcBorders>
            <w:shd w:val="clear" w:color="auto" w:fill="auto"/>
            <w:vAlign w:val="center"/>
          </w:tcPr>
          <w:p w:rsidR="00AD6429" w:rsidRPr="007A20B8" w:rsidRDefault="00AD6429" w:rsidP="00A44E53">
            <w:pPr>
              <w:jc w:val="right"/>
              <w:rPr>
                <w:b/>
                <w:bCs/>
                <w:i/>
                <w:sz w:val="18"/>
                <w:szCs w:val="19"/>
              </w:rPr>
            </w:pPr>
            <w:r w:rsidRPr="007A20B8">
              <w:rPr>
                <w:b/>
                <w:bCs/>
                <w:sz w:val="18"/>
                <w:szCs w:val="19"/>
              </w:rPr>
              <w:t>+ 4,0 %</w:t>
            </w:r>
          </w:p>
          <w:p w:rsidR="00AD6429" w:rsidRPr="00A52285" w:rsidRDefault="00AD6429" w:rsidP="00A44E53">
            <w:pPr>
              <w:jc w:val="right"/>
              <w:rPr>
                <w:b/>
                <w:bCs/>
                <w:i/>
                <w:color w:val="FF0000"/>
                <w:sz w:val="18"/>
                <w:szCs w:val="19"/>
              </w:rPr>
            </w:pPr>
          </w:p>
          <w:p w:rsidR="00AD6429" w:rsidRPr="00A52285" w:rsidRDefault="00922581" w:rsidP="00A44E53">
            <w:pPr>
              <w:jc w:val="right"/>
              <w:rPr>
                <w:i/>
                <w:color w:val="FF0000"/>
                <w:sz w:val="18"/>
                <w:szCs w:val="19"/>
              </w:rPr>
            </w:pPr>
            <w:r w:rsidRPr="00922581">
              <w:rPr>
                <w:bCs/>
                <w:i/>
                <w:sz w:val="18"/>
                <w:szCs w:val="19"/>
              </w:rPr>
              <w:t>ns</w:t>
            </w:r>
          </w:p>
        </w:tc>
        <w:tc>
          <w:tcPr>
            <w:tcW w:w="253" w:type="dxa"/>
            <w:vMerge/>
            <w:tcBorders>
              <w:top w:val="nil"/>
              <w:left w:val="single" w:sz="8" w:space="0" w:color="581D74"/>
              <w:bottom w:val="nil"/>
              <w:right w:val="single" w:sz="8" w:space="0" w:color="581D74"/>
            </w:tcBorders>
            <w:vAlign w:val="center"/>
          </w:tcPr>
          <w:p w:rsidR="00AD6429" w:rsidRPr="00A52285" w:rsidRDefault="00AD6429" w:rsidP="00A44E53">
            <w:pPr>
              <w:jc w:val="right"/>
              <w:rPr>
                <w:b/>
                <w:color w:val="FF0000"/>
                <w:sz w:val="18"/>
                <w:szCs w:val="19"/>
              </w:rPr>
            </w:pPr>
          </w:p>
        </w:tc>
        <w:tc>
          <w:tcPr>
            <w:tcW w:w="1247" w:type="dxa"/>
            <w:tcBorders>
              <w:top w:val="single" w:sz="8" w:space="0" w:color="581D74"/>
              <w:left w:val="single" w:sz="8" w:space="0" w:color="581D74"/>
              <w:bottom w:val="single" w:sz="8" w:space="0" w:color="581D74"/>
              <w:right w:val="single" w:sz="8" w:space="0" w:color="581D74"/>
            </w:tcBorders>
            <w:shd w:val="clear" w:color="auto" w:fill="auto"/>
            <w:tcMar>
              <w:top w:w="57" w:type="dxa"/>
              <w:left w:w="113" w:type="dxa"/>
              <w:bottom w:w="57" w:type="dxa"/>
              <w:right w:w="113" w:type="dxa"/>
            </w:tcMar>
            <w:vAlign w:val="center"/>
          </w:tcPr>
          <w:p w:rsidR="00AD6429" w:rsidRPr="00922581" w:rsidRDefault="00AD6429" w:rsidP="00A44E53">
            <w:pPr>
              <w:jc w:val="right"/>
              <w:rPr>
                <w:b/>
                <w:sz w:val="18"/>
                <w:szCs w:val="19"/>
              </w:rPr>
            </w:pPr>
            <w:r w:rsidRPr="00922581">
              <w:rPr>
                <w:b/>
                <w:sz w:val="18"/>
                <w:szCs w:val="19"/>
              </w:rPr>
              <w:t xml:space="preserve">- </w:t>
            </w:r>
          </w:p>
        </w:tc>
        <w:tc>
          <w:tcPr>
            <w:tcW w:w="1247" w:type="dxa"/>
            <w:tcBorders>
              <w:top w:val="single" w:sz="8" w:space="0" w:color="581D74"/>
              <w:left w:val="single" w:sz="8" w:space="0" w:color="581D74"/>
              <w:bottom w:val="single" w:sz="8" w:space="0" w:color="581D74"/>
              <w:right w:val="single" w:sz="8" w:space="0" w:color="581D74"/>
            </w:tcBorders>
            <w:shd w:val="clear" w:color="auto" w:fill="auto"/>
            <w:tcMar>
              <w:top w:w="57" w:type="dxa"/>
              <w:left w:w="113" w:type="dxa"/>
              <w:bottom w:w="57" w:type="dxa"/>
              <w:right w:w="113" w:type="dxa"/>
            </w:tcMar>
            <w:vAlign w:val="center"/>
          </w:tcPr>
          <w:p w:rsidR="00AD6429" w:rsidRPr="00922581" w:rsidRDefault="00AD6429" w:rsidP="00A44E53">
            <w:pPr>
              <w:jc w:val="right"/>
              <w:rPr>
                <w:b/>
                <w:sz w:val="18"/>
                <w:szCs w:val="19"/>
              </w:rPr>
            </w:pPr>
            <w:r w:rsidRPr="00922581">
              <w:rPr>
                <w:b/>
                <w:sz w:val="18"/>
                <w:szCs w:val="19"/>
              </w:rPr>
              <w:t xml:space="preserve">- </w:t>
            </w:r>
          </w:p>
        </w:tc>
      </w:tr>
      <w:tr w:rsidR="00AD6429" w:rsidRPr="00D61D41">
        <w:trPr>
          <w:trHeight w:val="510"/>
        </w:trPr>
        <w:tc>
          <w:tcPr>
            <w:tcW w:w="4422" w:type="dxa"/>
            <w:tcBorders>
              <w:top w:val="single" w:sz="8" w:space="0" w:color="581D74"/>
              <w:left w:val="single" w:sz="8" w:space="0" w:color="581D74"/>
              <w:bottom w:val="single" w:sz="8" w:space="0" w:color="581D74"/>
              <w:right w:val="single" w:sz="8" w:space="0" w:color="581D74"/>
            </w:tcBorders>
            <w:shd w:val="clear" w:color="auto" w:fill="auto"/>
            <w:vAlign w:val="center"/>
          </w:tcPr>
          <w:p w:rsidR="00AD6429" w:rsidRPr="005E14CD" w:rsidRDefault="00AD6429" w:rsidP="00A44E53">
            <w:pPr>
              <w:rPr>
                <w:b/>
                <w:color w:val="581D74"/>
                <w:sz w:val="19"/>
                <w:szCs w:val="19"/>
              </w:rPr>
            </w:pPr>
            <w:r w:rsidRPr="005E14CD">
              <w:rPr>
                <w:b/>
                <w:bCs/>
                <w:color w:val="581D74"/>
                <w:sz w:val="19"/>
                <w:szCs w:val="19"/>
              </w:rPr>
              <w:t>Résultat net part du group</w:t>
            </w:r>
            <w:r>
              <w:rPr>
                <w:b/>
                <w:bCs/>
                <w:color w:val="581D74"/>
                <w:sz w:val="19"/>
                <w:szCs w:val="19"/>
              </w:rPr>
              <w:t>e</w:t>
            </w:r>
          </w:p>
        </w:tc>
        <w:tc>
          <w:tcPr>
            <w:tcW w:w="1247" w:type="dxa"/>
            <w:tcBorders>
              <w:top w:val="single" w:sz="8" w:space="0" w:color="581D74"/>
              <w:left w:val="single" w:sz="8" w:space="0" w:color="581D74"/>
              <w:bottom w:val="single" w:sz="8" w:space="0" w:color="581D74"/>
              <w:right w:val="single" w:sz="8" w:space="0" w:color="581D74"/>
            </w:tcBorders>
            <w:shd w:val="clear" w:color="auto" w:fill="EAE7EC"/>
            <w:vAlign w:val="center"/>
          </w:tcPr>
          <w:p w:rsidR="00AD6429" w:rsidRPr="007A20B8" w:rsidRDefault="00AD6429" w:rsidP="00A44E53">
            <w:pPr>
              <w:jc w:val="right"/>
              <w:rPr>
                <w:b/>
                <w:sz w:val="18"/>
                <w:szCs w:val="19"/>
              </w:rPr>
            </w:pPr>
            <w:r w:rsidRPr="007A20B8">
              <w:rPr>
                <w:b/>
                <w:sz w:val="18"/>
                <w:szCs w:val="19"/>
              </w:rPr>
              <w:t>720</w:t>
            </w:r>
          </w:p>
        </w:tc>
        <w:tc>
          <w:tcPr>
            <w:tcW w:w="1277" w:type="dxa"/>
            <w:tcBorders>
              <w:top w:val="single" w:sz="8" w:space="0" w:color="581D74"/>
              <w:left w:val="single" w:sz="8" w:space="0" w:color="581D74"/>
              <w:bottom w:val="single" w:sz="8" w:space="0" w:color="581D74"/>
              <w:right w:val="single" w:sz="8" w:space="0" w:color="581D74"/>
            </w:tcBorders>
            <w:shd w:val="clear" w:color="auto" w:fill="auto"/>
            <w:vAlign w:val="center"/>
          </w:tcPr>
          <w:p w:rsidR="00AD6429" w:rsidRPr="007A20B8" w:rsidRDefault="00AD6429" w:rsidP="00A44E53">
            <w:pPr>
              <w:jc w:val="right"/>
              <w:rPr>
                <w:b/>
                <w:sz w:val="18"/>
                <w:szCs w:val="19"/>
              </w:rPr>
            </w:pPr>
            <w:r w:rsidRPr="007A20B8">
              <w:rPr>
                <w:b/>
                <w:sz w:val="18"/>
                <w:szCs w:val="19"/>
              </w:rPr>
              <w:t>- 3,5 %</w:t>
            </w:r>
          </w:p>
        </w:tc>
        <w:tc>
          <w:tcPr>
            <w:tcW w:w="253" w:type="dxa"/>
            <w:vMerge/>
            <w:tcBorders>
              <w:top w:val="nil"/>
              <w:left w:val="single" w:sz="8" w:space="0" w:color="581D74"/>
              <w:bottom w:val="nil"/>
              <w:right w:val="single" w:sz="8" w:space="0" w:color="581D74"/>
            </w:tcBorders>
            <w:vAlign w:val="center"/>
          </w:tcPr>
          <w:p w:rsidR="00AD6429" w:rsidRPr="007A20B8" w:rsidRDefault="00AD6429" w:rsidP="00A44E53">
            <w:pPr>
              <w:jc w:val="right"/>
              <w:rPr>
                <w:b/>
                <w:sz w:val="18"/>
                <w:szCs w:val="19"/>
              </w:rPr>
            </w:pPr>
          </w:p>
        </w:tc>
        <w:tc>
          <w:tcPr>
            <w:tcW w:w="1247" w:type="dxa"/>
            <w:tcBorders>
              <w:top w:val="single" w:sz="8" w:space="0" w:color="581D74"/>
              <w:left w:val="single" w:sz="8" w:space="0" w:color="581D74"/>
              <w:bottom w:val="single" w:sz="8" w:space="0" w:color="581D74"/>
              <w:right w:val="single" w:sz="8" w:space="0" w:color="581D74"/>
            </w:tcBorders>
            <w:shd w:val="clear" w:color="auto" w:fill="auto"/>
            <w:tcMar>
              <w:top w:w="57" w:type="dxa"/>
              <w:left w:w="113" w:type="dxa"/>
              <w:bottom w:w="57" w:type="dxa"/>
              <w:right w:w="113" w:type="dxa"/>
            </w:tcMar>
            <w:vAlign w:val="center"/>
          </w:tcPr>
          <w:p w:rsidR="00AD6429" w:rsidRPr="007A20B8" w:rsidRDefault="00AD6429" w:rsidP="00A44E53">
            <w:pPr>
              <w:jc w:val="right"/>
              <w:rPr>
                <w:b/>
                <w:sz w:val="18"/>
                <w:szCs w:val="19"/>
              </w:rPr>
            </w:pPr>
            <w:r w:rsidRPr="007A20B8">
              <w:rPr>
                <w:b/>
                <w:sz w:val="18"/>
                <w:szCs w:val="19"/>
              </w:rPr>
              <w:t>975</w:t>
            </w:r>
          </w:p>
        </w:tc>
        <w:tc>
          <w:tcPr>
            <w:tcW w:w="1247" w:type="dxa"/>
            <w:tcBorders>
              <w:top w:val="single" w:sz="8" w:space="0" w:color="581D74"/>
              <w:left w:val="single" w:sz="8" w:space="0" w:color="581D74"/>
              <w:bottom w:val="single" w:sz="8" w:space="0" w:color="581D74"/>
              <w:right w:val="single" w:sz="8" w:space="0" w:color="581D74"/>
            </w:tcBorders>
            <w:shd w:val="clear" w:color="auto" w:fill="auto"/>
            <w:tcMar>
              <w:top w:w="57" w:type="dxa"/>
              <w:left w:w="113" w:type="dxa"/>
              <w:bottom w:w="57" w:type="dxa"/>
              <w:right w:w="113" w:type="dxa"/>
            </w:tcMar>
            <w:vAlign w:val="center"/>
          </w:tcPr>
          <w:p w:rsidR="00AD6429" w:rsidRPr="007A20B8" w:rsidRDefault="00AD6429" w:rsidP="00A44E53">
            <w:pPr>
              <w:jc w:val="right"/>
              <w:rPr>
                <w:b/>
                <w:sz w:val="18"/>
                <w:szCs w:val="19"/>
              </w:rPr>
            </w:pPr>
            <w:r w:rsidRPr="007A20B8">
              <w:rPr>
                <w:b/>
                <w:sz w:val="18"/>
                <w:szCs w:val="19"/>
              </w:rPr>
              <w:t>+ 15,1 %</w:t>
            </w:r>
          </w:p>
        </w:tc>
      </w:tr>
      <w:tr w:rsidR="00AD6429" w:rsidRPr="00D61D41">
        <w:trPr>
          <w:trHeight w:val="510"/>
        </w:trPr>
        <w:tc>
          <w:tcPr>
            <w:tcW w:w="4422" w:type="dxa"/>
            <w:tcBorders>
              <w:top w:val="single" w:sz="8" w:space="0" w:color="581D74"/>
              <w:left w:val="single" w:sz="8" w:space="0" w:color="581D74"/>
              <w:bottom w:val="single" w:sz="8" w:space="0" w:color="581D74"/>
              <w:right w:val="single" w:sz="8" w:space="0" w:color="581D74"/>
            </w:tcBorders>
            <w:shd w:val="clear" w:color="auto" w:fill="auto"/>
            <w:vAlign w:val="center"/>
          </w:tcPr>
          <w:p w:rsidR="00AD6429" w:rsidRPr="005E14CD" w:rsidRDefault="00AD6429" w:rsidP="00A44E53">
            <w:pPr>
              <w:rPr>
                <w:b/>
                <w:color w:val="581D74"/>
                <w:sz w:val="19"/>
                <w:szCs w:val="19"/>
              </w:rPr>
            </w:pPr>
            <w:r w:rsidRPr="005E14CD">
              <w:rPr>
                <w:b/>
                <w:bCs/>
                <w:color w:val="581D74"/>
                <w:sz w:val="19"/>
                <w:szCs w:val="19"/>
              </w:rPr>
              <w:t>ROE</w:t>
            </w:r>
          </w:p>
        </w:tc>
        <w:tc>
          <w:tcPr>
            <w:tcW w:w="1247" w:type="dxa"/>
            <w:tcBorders>
              <w:top w:val="single" w:sz="8" w:space="0" w:color="581D74"/>
              <w:left w:val="single" w:sz="8" w:space="0" w:color="581D74"/>
              <w:bottom w:val="single" w:sz="8" w:space="0" w:color="581D74"/>
              <w:right w:val="single" w:sz="8" w:space="0" w:color="581D74"/>
            </w:tcBorders>
            <w:shd w:val="clear" w:color="auto" w:fill="EAE7EC"/>
            <w:vAlign w:val="center"/>
          </w:tcPr>
          <w:p w:rsidR="00AD6429" w:rsidRPr="00922581" w:rsidRDefault="00922581" w:rsidP="00A44E53">
            <w:pPr>
              <w:jc w:val="right"/>
              <w:rPr>
                <w:b/>
                <w:sz w:val="18"/>
                <w:szCs w:val="19"/>
              </w:rPr>
            </w:pPr>
            <w:r w:rsidRPr="00922581">
              <w:rPr>
                <w:b/>
                <w:bCs/>
                <w:sz w:val="18"/>
                <w:szCs w:val="19"/>
              </w:rPr>
              <w:t>5,4</w:t>
            </w:r>
            <w:r w:rsidR="00AD6429" w:rsidRPr="00922581">
              <w:rPr>
                <w:b/>
                <w:bCs/>
                <w:sz w:val="18"/>
                <w:szCs w:val="19"/>
              </w:rPr>
              <w:t xml:space="preserve"> %</w:t>
            </w:r>
          </w:p>
        </w:tc>
        <w:tc>
          <w:tcPr>
            <w:tcW w:w="1277" w:type="dxa"/>
            <w:tcBorders>
              <w:top w:val="single" w:sz="8" w:space="0" w:color="581D74"/>
              <w:left w:val="single" w:sz="8" w:space="0" w:color="581D74"/>
              <w:bottom w:val="single" w:sz="8" w:space="0" w:color="581D74"/>
              <w:right w:val="single" w:sz="8" w:space="0" w:color="581D74"/>
            </w:tcBorders>
            <w:shd w:val="clear" w:color="auto" w:fill="auto"/>
            <w:vAlign w:val="center"/>
          </w:tcPr>
          <w:p w:rsidR="00AD6429" w:rsidRPr="00922581" w:rsidRDefault="00922581" w:rsidP="00A44E53">
            <w:pPr>
              <w:jc w:val="right"/>
              <w:rPr>
                <w:b/>
                <w:sz w:val="18"/>
                <w:szCs w:val="19"/>
              </w:rPr>
            </w:pPr>
            <w:r w:rsidRPr="00922581">
              <w:rPr>
                <w:b/>
                <w:sz w:val="18"/>
                <w:szCs w:val="19"/>
              </w:rPr>
              <w:t>- 0,6</w:t>
            </w:r>
            <w:r w:rsidR="00AD6429" w:rsidRPr="00922581">
              <w:rPr>
                <w:b/>
                <w:sz w:val="18"/>
                <w:szCs w:val="19"/>
              </w:rPr>
              <w:t xml:space="preserve"> pt</w:t>
            </w:r>
          </w:p>
        </w:tc>
        <w:tc>
          <w:tcPr>
            <w:tcW w:w="253" w:type="dxa"/>
            <w:tcBorders>
              <w:top w:val="nil"/>
              <w:left w:val="single" w:sz="8" w:space="0" w:color="581D74"/>
              <w:bottom w:val="nil"/>
              <w:right w:val="single" w:sz="8" w:space="0" w:color="581D74"/>
            </w:tcBorders>
            <w:vAlign w:val="center"/>
          </w:tcPr>
          <w:p w:rsidR="00AD6429" w:rsidRPr="00A52285" w:rsidRDefault="00AD6429" w:rsidP="00A44E53">
            <w:pPr>
              <w:jc w:val="right"/>
              <w:rPr>
                <w:b/>
                <w:color w:val="FF0000"/>
                <w:sz w:val="18"/>
                <w:szCs w:val="19"/>
              </w:rPr>
            </w:pPr>
          </w:p>
        </w:tc>
        <w:tc>
          <w:tcPr>
            <w:tcW w:w="1247" w:type="dxa"/>
            <w:tcBorders>
              <w:top w:val="single" w:sz="8" w:space="0" w:color="581D74"/>
              <w:left w:val="single" w:sz="8" w:space="0" w:color="581D74"/>
              <w:bottom w:val="single" w:sz="8" w:space="0" w:color="581D74"/>
              <w:right w:val="single" w:sz="8" w:space="0" w:color="581D74"/>
            </w:tcBorders>
            <w:shd w:val="clear" w:color="auto" w:fill="auto"/>
            <w:tcMar>
              <w:top w:w="57" w:type="dxa"/>
              <w:left w:w="113" w:type="dxa"/>
              <w:bottom w:w="57" w:type="dxa"/>
              <w:right w:w="113" w:type="dxa"/>
            </w:tcMar>
            <w:vAlign w:val="center"/>
          </w:tcPr>
          <w:p w:rsidR="00AD6429" w:rsidRPr="00922581" w:rsidRDefault="00AD6429" w:rsidP="00A44E53">
            <w:pPr>
              <w:jc w:val="right"/>
              <w:rPr>
                <w:b/>
                <w:sz w:val="18"/>
                <w:szCs w:val="19"/>
              </w:rPr>
            </w:pPr>
            <w:r w:rsidRPr="00922581">
              <w:rPr>
                <w:b/>
                <w:bCs/>
                <w:sz w:val="18"/>
                <w:szCs w:val="19"/>
              </w:rPr>
              <w:t>11 %</w:t>
            </w:r>
          </w:p>
        </w:tc>
        <w:tc>
          <w:tcPr>
            <w:tcW w:w="1247" w:type="dxa"/>
            <w:tcBorders>
              <w:top w:val="single" w:sz="8" w:space="0" w:color="581D74"/>
              <w:left w:val="single" w:sz="8" w:space="0" w:color="581D74"/>
              <w:bottom w:val="single" w:sz="8" w:space="0" w:color="581D74"/>
              <w:right w:val="single" w:sz="8" w:space="0" w:color="581D74"/>
            </w:tcBorders>
            <w:shd w:val="clear" w:color="auto" w:fill="auto"/>
            <w:tcMar>
              <w:top w:w="57" w:type="dxa"/>
              <w:left w:w="113" w:type="dxa"/>
              <w:bottom w:w="57" w:type="dxa"/>
              <w:right w:w="113" w:type="dxa"/>
            </w:tcMar>
            <w:vAlign w:val="center"/>
          </w:tcPr>
          <w:p w:rsidR="00AD6429" w:rsidRPr="00922581" w:rsidRDefault="00922581" w:rsidP="00A44E53">
            <w:pPr>
              <w:jc w:val="right"/>
              <w:rPr>
                <w:b/>
                <w:sz w:val="18"/>
                <w:szCs w:val="19"/>
              </w:rPr>
            </w:pPr>
            <w:r w:rsidRPr="00922581">
              <w:rPr>
                <w:b/>
                <w:sz w:val="18"/>
                <w:szCs w:val="19"/>
              </w:rPr>
              <w:t>+ 1 pt</w:t>
            </w:r>
          </w:p>
        </w:tc>
      </w:tr>
    </w:tbl>
    <w:p w:rsidR="00AD6429" w:rsidRDefault="00AD6429" w:rsidP="00AD6429">
      <w:pPr>
        <w:tabs>
          <w:tab w:val="left" w:pos="426"/>
        </w:tabs>
        <w:rPr>
          <w:color w:val="581D74"/>
          <w:sz w:val="14"/>
          <w:szCs w:val="14"/>
        </w:rPr>
      </w:pPr>
    </w:p>
    <w:p w:rsidR="00AD6429" w:rsidRPr="0095321C" w:rsidRDefault="00AD6429" w:rsidP="00D8707E">
      <w:pPr>
        <w:tabs>
          <w:tab w:val="left" w:pos="336"/>
        </w:tabs>
        <w:rPr>
          <w:sz w:val="14"/>
          <w:szCs w:val="14"/>
        </w:rPr>
      </w:pPr>
      <w:r w:rsidRPr="0095321C">
        <w:rPr>
          <w:sz w:val="14"/>
          <w:szCs w:val="14"/>
        </w:rPr>
        <w:t>*</w:t>
      </w:r>
      <w:r w:rsidR="00D8707E">
        <w:rPr>
          <w:sz w:val="14"/>
          <w:szCs w:val="14"/>
        </w:rPr>
        <w:tab/>
      </w:r>
      <w:r w:rsidRPr="0095321C">
        <w:rPr>
          <w:sz w:val="14"/>
          <w:szCs w:val="14"/>
        </w:rPr>
        <w:t xml:space="preserve">Les métiers cœurs sont la Banque commerciale et Assurance (avec notamment les réseaux Banque Populaire et Caisse d’Epargne </w:t>
      </w:r>
      <w:r w:rsidR="00D8707E">
        <w:rPr>
          <w:sz w:val="14"/>
          <w:szCs w:val="14"/>
        </w:rPr>
        <w:tab/>
      </w:r>
      <w:r w:rsidRPr="0095321C">
        <w:rPr>
          <w:sz w:val="14"/>
          <w:szCs w:val="14"/>
        </w:rPr>
        <w:t xml:space="preserve">ainsi que le Crédit Foncier, la Banque Palatine et BPCE International et Outre-mer) et la Banque de Grande Clientèle, l’Épargne et </w:t>
      </w:r>
      <w:r w:rsidR="00D8707E">
        <w:rPr>
          <w:sz w:val="14"/>
          <w:szCs w:val="14"/>
        </w:rPr>
        <w:tab/>
      </w:r>
      <w:r w:rsidRPr="0095321C">
        <w:rPr>
          <w:sz w:val="14"/>
          <w:szCs w:val="14"/>
        </w:rPr>
        <w:t>les Services Financiers Spécialisés (Natixis)</w:t>
      </w:r>
      <w:r w:rsidR="00D8707E">
        <w:rPr>
          <w:sz w:val="14"/>
          <w:szCs w:val="14"/>
        </w:rPr>
        <w:t>.</w:t>
      </w:r>
      <w:r w:rsidRPr="0095321C">
        <w:rPr>
          <w:sz w:val="14"/>
          <w:szCs w:val="14"/>
        </w:rPr>
        <w:t xml:space="preserve"> </w:t>
      </w:r>
    </w:p>
    <w:p w:rsidR="00AD6429" w:rsidRPr="0095321C" w:rsidRDefault="00AD6429" w:rsidP="00D8707E">
      <w:pPr>
        <w:tabs>
          <w:tab w:val="left" w:pos="336"/>
        </w:tabs>
        <w:rPr>
          <w:sz w:val="14"/>
          <w:szCs w:val="14"/>
        </w:rPr>
      </w:pPr>
      <w:r w:rsidRPr="0095321C">
        <w:rPr>
          <w:sz w:val="14"/>
          <w:szCs w:val="14"/>
        </w:rPr>
        <w:t>**</w:t>
      </w:r>
      <w:r w:rsidR="00D8707E">
        <w:rPr>
          <w:sz w:val="14"/>
          <w:szCs w:val="14"/>
        </w:rPr>
        <w:tab/>
      </w:r>
      <w:r w:rsidRPr="0095321C">
        <w:rPr>
          <w:sz w:val="14"/>
          <w:szCs w:val="14"/>
        </w:rPr>
        <w:t>Hors réévaluation de la dette propre pour les résultats du groupe</w:t>
      </w:r>
      <w:r w:rsidR="00D8707E">
        <w:rPr>
          <w:sz w:val="14"/>
          <w:szCs w:val="14"/>
        </w:rPr>
        <w:t>.</w:t>
      </w:r>
      <w:r w:rsidRPr="0095321C">
        <w:rPr>
          <w:sz w:val="14"/>
          <w:szCs w:val="14"/>
        </w:rPr>
        <w:t xml:space="preserve"> </w:t>
      </w:r>
    </w:p>
    <w:p w:rsidR="00AD6429" w:rsidRPr="00922581" w:rsidRDefault="00AD6429" w:rsidP="00D8707E">
      <w:pPr>
        <w:tabs>
          <w:tab w:val="left" w:pos="336"/>
        </w:tabs>
        <w:rPr>
          <w:sz w:val="14"/>
          <w:szCs w:val="14"/>
        </w:rPr>
      </w:pPr>
      <w:r w:rsidRPr="00922581">
        <w:rPr>
          <w:sz w:val="14"/>
          <w:szCs w:val="14"/>
        </w:rPr>
        <w:t>***</w:t>
      </w:r>
      <w:r w:rsidR="00D8707E">
        <w:rPr>
          <w:sz w:val="14"/>
          <w:szCs w:val="14"/>
        </w:rPr>
        <w:tab/>
      </w:r>
      <w:r w:rsidRPr="00922581">
        <w:rPr>
          <w:sz w:val="14"/>
          <w:szCs w:val="14"/>
        </w:rPr>
        <w:t xml:space="preserve">Pro forma du rachat (suivi de leur annulation) par les Banques Populaires et les Caisses d’Epargne des certificats coopératifs </w:t>
      </w:r>
      <w:r w:rsidR="00D8707E">
        <w:rPr>
          <w:sz w:val="14"/>
          <w:szCs w:val="14"/>
        </w:rPr>
        <w:tab/>
      </w:r>
      <w:r w:rsidRPr="00922581">
        <w:rPr>
          <w:sz w:val="14"/>
          <w:szCs w:val="14"/>
        </w:rPr>
        <w:t>d’investissement (CCI) détenus par Natixis</w:t>
      </w:r>
      <w:r w:rsidR="00D8707E">
        <w:rPr>
          <w:sz w:val="14"/>
          <w:szCs w:val="14"/>
        </w:rPr>
        <w:t>.</w:t>
      </w:r>
    </w:p>
    <w:p w:rsidR="00AD6429" w:rsidRPr="00AD6429" w:rsidRDefault="00BD31C3" w:rsidP="00AD6429">
      <w:pPr>
        <w:spacing w:after="200" w:line="276" w:lineRule="auto"/>
        <w:jc w:val="left"/>
        <w:rPr>
          <w:rFonts w:eastAsia="Times New Roman" w:cs="Times New Roman"/>
          <w:sz w:val="14"/>
          <w:szCs w:val="14"/>
        </w:rPr>
      </w:pPr>
      <w:r>
        <w:rPr>
          <w:sz w:val="14"/>
          <w:szCs w:val="14"/>
        </w:rPr>
        <w:br w:type="page"/>
      </w:r>
      <w:r w:rsidR="00AD6429" w:rsidRPr="00AD6429">
        <w:rPr>
          <w:b/>
          <w:smallCaps/>
          <w:color w:val="581D74"/>
        </w:rPr>
        <w:lastRenderedPageBreak/>
        <w:t>R</w:t>
      </w:r>
      <w:r w:rsidR="00AD6429" w:rsidRPr="00D61D41">
        <w:rPr>
          <w:b/>
          <w:smallCaps/>
          <w:color w:val="581D74"/>
        </w:rPr>
        <w:t xml:space="preserve">ÉSULTATS CONSOLIDÉS DU GROUPE BPCE SUR LES NEUF PREMIERS MOIS </w:t>
      </w:r>
      <w:r w:rsidR="002E6DDC">
        <w:rPr>
          <w:b/>
          <w:smallCaps/>
          <w:color w:val="581D74"/>
        </w:rPr>
        <w:br/>
      </w:r>
      <w:r w:rsidR="00AD6429" w:rsidRPr="00D61D41">
        <w:rPr>
          <w:b/>
          <w:smallCaps/>
          <w:color w:val="581D74"/>
        </w:rPr>
        <w:t>D</w:t>
      </w:r>
      <w:r w:rsidR="00AD6429">
        <w:rPr>
          <w:b/>
          <w:smallCaps/>
          <w:color w:val="581D74"/>
        </w:rPr>
        <w:t>E</w:t>
      </w:r>
      <w:r w:rsidR="00AD6429" w:rsidRPr="00D61D41">
        <w:rPr>
          <w:b/>
          <w:smallCaps/>
          <w:color w:val="581D74"/>
        </w:rPr>
        <w:t xml:space="preserve"> 201</w:t>
      </w:r>
      <w:r w:rsidR="00AD6429">
        <w:rPr>
          <w:b/>
          <w:smallCaps/>
          <w:color w:val="581D74"/>
        </w:rPr>
        <w:t>4</w:t>
      </w:r>
    </w:p>
    <w:p w:rsidR="00AD6429" w:rsidRPr="00D61D41" w:rsidRDefault="00AD6429" w:rsidP="00AD6429">
      <w:pPr>
        <w:tabs>
          <w:tab w:val="left" w:pos="426"/>
        </w:tabs>
        <w:spacing w:line="240" w:lineRule="atLeast"/>
        <w:rPr>
          <w:b/>
          <w:color w:val="581D74"/>
          <w:sz w:val="24"/>
          <w:szCs w:val="24"/>
        </w:rPr>
      </w:pPr>
    </w:p>
    <w:tbl>
      <w:tblPr>
        <w:tblW w:w="9379" w:type="dxa"/>
        <w:tblInd w:w="113" w:type="dxa"/>
        <w:tblLayout w:type="fixed"/>
        <w:tblCellMar>
          <w:left w:w="0" w:type="dxa"/>
          <w:right w:w="0" w:type="dxa"/>
        </w:tblCellMar>
        <w:tblLook w:val="0420" w:firstRow="1" w:lastRow="0" w:firstColumn="0" w:lastColumn="0" w:noHBand="0" w:noVBand="1"/>
      </w:tblPr>
      <w:tblGrid>
        <w:gridCol w:w="3543"/>
        <w:gridCol w:w="1836"/>
        <w:gridCol w:w="1260"/>
        <w:gridCol w:w="246"/>
        <w:gridCol w:w="1183"/>
        <w:gridCol w:w="1311"/>
      </w:tblGrid>
      <w:tr w:rsidR="00AD6429" w:rsidRPr="00D61D41">
        <w:trPr>
          <w:trHeight w:val="510"/>
        </w:trPr>
        <w:tc>
          <w:tcPr>
            <w:tcW w:w="3543" w:type="dxa"/>
            <w:tcBorders>
              <w:top w:val="nil"/>
              <w:left w:val="nil"/>
              <w:bottom w:val="single" w:sz="8" w:space="0" w:color="581D74"/>
              <w:right w:val="single" w:sz="8" w:space="0" w:color="581D74"/>
            </w:tcBorders>
            <w:shd w:val="clear" w:color="auto" w:fill="auto"/>
            <w:tcMar>
              <w:top w:w="57" w:type="dxa"/>
              <w:left w:w="113" w:type="dxa"/>
              <w:bottom w:w="57" w:type="dxa"/>
              <w:right w:w="113" w:type="dxa"/>
            </w:tcMar>
            <w:vAlign w:val="center"/>
          </w:tcPr>
          <w:p w:rsidR="00AD6429" w:rsidRDefault="00AD6429" w:rsidP="00A44E53">
            <w:pPr>
              <w:rPr>
                <w:i/>
                <w:color w:val="581D74"/>
                <w:sz w:val="16"/>
                <w:szCs w:val="16"/>
              </w:rPr>
            </w:pPr>
            <w:r w:rsidRPr="005E14CD">
              <w:rPr>
                <w:i/>
                <w:color w:val="581D74"/>
                <w:sz w:val="16"/>
                <w:szCs w:val="16"/>
              </w:rPr>
              <w:t>en millions d’euros</w:t>
            </w:r>
          </w:p>
          <w:p w:rsidR="00AD6429" w:rsidRPr="005E14CD" w:rsidRDefault="00AD6429" w:rsidP="00A44E53">
            <w:pPr>
              <w:rPr>
                <w:i/>
                <w:color w:val="581D74"/>
                <w:sz w:val="16"/>
                <w:szCs w:val="16"/>
              </w:rPr>
            </w:pPr>
            <w:r>
              <w:rPr>
                <w:i/>
                <w:color w:val="581D74"/>
                <w:sz w:val="16"/>
                <w:szCs w:val="16"/>
              </w:rPr>
              <w:t xml:space="preserve">résultats pro forma*** </w:t>
            </w:r>
          </w:p>
        </w:tc>
        <w:tc>
          <w:tcPr>
            <w:tcW w:w="1836" w:type="dxa"/>
            <w:tcBorders>
              <w:top w:val="single" w:sz="8" w:space="0" w:color="581D74"/>
              <w:left w:val="single" w:sz="8" w:space="0" w:color="581D74"/>
              <w:bottom w:val="nil"/>
              <w:right w:val="single" w:sz="8" w:space="0" w:color="581D74"/>
            </w:tcBorders>
            <w:shd w:val="clear" w:color="auto" w:fill="581D74"/>
            <w:tcMar>
              <w:top w:w="57" w:type="dxa"/>
              <w:left w:w="113" w:type="dxa"/>
              <w:bottom w:w="57" w:type="dxa"/>
              <w:right w:w="113" w:type="dxa"/>
            </w:tcMar>
            <w:vAlign w:val="center"/>
          </w:tcPr>
          <w:p w:rsidR="00AD6429" w:rsidRPr="005E14CD" w:rsidRDefault="00AD6429" w:rsidP="00A44E53">
            <w:pPr>
              <w:jc w:val="center"/>
              <w:rPr>
                <w:b/>
                <w:sz w:val="19"/>
                <w:szCs w:val="19"/>
              </w:rPr>
            </w:pPr>
            <w:r>
              <w:rPr>
                <w:b/>
                <w:sz w:val="19"/>
                <w:szCs w:val="19"/>
              </w:rPr>
              <w:t>9M-14</w:t>
            </w:r>
          </w:p>
        </w:tc>
        <w:tc>
          <w:tcPr>
            <w:tcW w:w="1260" w:type="dxa"/>
            <w:tcBorders>
              <w:top w:val="single" w:sz="8" w:space="0" w:color="581D74"/>
              <w:left w:val="single" w:sz="8" w:space="0" w:color="581D74"/>
              <w:bottom w:val="single" w:sz="8" w:space="0" w:color="581D74"/>
              <w:right w:val="single" w:sz="8" w:space="0" w:color="581D74"/>
            </w:tcBorders>
            <w:shd w:val="clear" w:color="auto" w:fill="auto"/>
            <w:tcMar>
              <w:top w:w="57" w:type="dxa"/>
              <w:left w:w="113" w:type="dxa"/>
              <w:bottom w:w="57" w:type="dxa"/>
              <w:right w:w="113" w:type="dxa"/>
            </w:tcMar>
            <w:vAlign w:val="center"/>
          </w:tcPr>
          <w:p w:rsidR="00AD6429" w:rsidRPr="005E14CD" w:rsidRDefault="00AD6429" w:rsidP="00A44E53">
            <w:pPr>
              <w:jc w:val="center"/>
              <w:rPr>
                <w:b/>
                <w:color w:val="581D74"/>
                <w:sz w:val="19"/>
                <w:szCs w:val="19"/>
              </w:rPr>
            </w:pPr>
            <w:r>
              <w:rPr>
                <w:b/>
                <w:color w:val="581D74"/>
                <w:sz w:val="19"/>
                <w:szCs w:val="19"/>
              </w:rPr>
              <w:t>9M-14</w:t>
            </w:r>
            <w:r w:rsidRPr="005E14CD">
              <w:rPr>
                <w:b/>
                <w:color w:val="581D74"/>
                <w:sz w:val="19"/>
                <w:szCs w:val="19"/>
              </w:rPr>
              <w:t xml:space="preserve"> / </w:t>
            </w:r>
            <w:r w:rsidRPr="005E14CD">
              <w:rPr>
                <w:b/>
                <w:color w:val="581D74"/>
                <w:sz w:val="19"/>
                <w:szCs w:val="19"/>
              </w:rPr>
              <w:br/>
              <w:t>9M-1</w:t>
            </w:r>
            <w:r>
              <w:rPr>
                <w:b/>
                <w:color w:val="581D74"/>
                <w:sz w:val="19"/>
                <w:szCs w:val="19"/>
              </w:rPr>
              <w:t>3</w:t>
            </w:r>
          </w:p>
        </w:tc>
        <w:tc>
          <w:tcPr>
            <w:tcW w:w="246" w:type="dxa"/>
            <w:vMerge w:val="restart"/>
            <w:tcBorders>
              <w:top w:val="nil"/>
              <w:left w:val="single" w:sz="8" w:space="0" w:color="581D74"/>
              <w:bottom w:val="nil"/>
              <w:right w:val="single" w:sz="8" w:space="0" w:color="581D74"/>
            </w:tcBorders>
            <w:shd w:val="clear" w:color="auto" w:fill="auto"/>
            <w:tcMar>
              <w:top w:w="57" w:type="dxa"/>
              <w:left w:w="113" w:type="dxa"/>
              <w:bottom w:w="57" w:type="dxa"/>
              <w:right w:w="113" w:type="dxa"/>
            </w:tcMar>
            <w:vAlign w:val="center"/>
          </w:tcPr>
          <w:p w:rsidR="00AD6429" w:rsidRPr="005E14CD" w:rsidRDefault="00AD6429" w:rsidP="00A44E53">
            <w:pPr>
              <w:jc w:val="center"/>
              <w:rPr>
                <w:b/>
                <w:color w:val="581D74"/>
                <w:sz w:val="19"/>
                <w:szCs w:val="19"/>
              </w:rPr>
            </w:pPr>
          </w:p>
        </w:tc>
        <w:tc>
          <w:tcPr>
            <w:tcW w:w="1183" w:type="dxa"/>
            <w:tcBorders>
              <w:top w:val="single" w:sz="8" w:space="0" w:color="581D74"/>
              <w:left w:val="single" w:sz="8" w:space="0" w:color="581D74"/>
              <w:bottom w:val="single" w:sz="8" w:space="0" w:color="581D74"/>
              <w:right w:val="single" w:sz="8" w:space="0" w:color="581D74"/>
            </w:tcBorders>
            <w:shd w:val="clear" w:color="auto" w:fill="581D74"/>
            <w:tcMar>
              <w:top w:w="57" w:type="dxa"/>
              <w:left w:w="113" w:type="dxa"/>
              <w:bottom w:w="57" w:type="dxa"/>
              <w:right w:w="113" w:type="dxa"/>
            </w:tcMar>
            <w:vAlign w:val="center"/>
          </w:tcPr>
          <w:p w:rsidR="00AD6429" w:rsidRPr="005E14CD" w:rsidRDefault="00AD6429" w:rsidP="00A44E53">
            <w:pPr>
              <w:jc w:val="center"/>
              <w:rPr>
                <w:b/>
                <w:smallCaps/>
                <w:sz w:val="19"/>
                <w:szCs w:val="19"/>
              </w:rPr>
            </w:pPr>
            <w:r w:rsidRPr="005E14CD">
              <w:rPr>
                <w:b/>
                <w:smallCaps/>
                <w:sz w:val="19"/>
                <w:szCs w:val="19"/>
              </w:rPr>
              <w:t>Métiers cœurs</w:t>
            </w:r>
            <w:r>
              <w:rPr>
                <w:b/>
                <w:smallCaps/>
                <w:sz w:val="19"/>
                <w:szCs w:val="19"/>
              </w:rPr>
              <w:t>*</w:t>
            </w:r>
          </w:p>
        </w:tc>
        <w:tc>
          <w:tcPr>
            <w:tcW w:w="1311" w:type="dxa"/>
            <w:tcBorders>
              <w:top w:val="single" w:sz="8" w:space="0" w:color="581D74"/>
              <w:left w:val="single" w:sz="8" w:space="0" w:color="581D74"/>
              <w:bottom w:val="single" w:sz="8" w:space="0" w:color="581D74"/>
              <w:right w:val="single" w:sz="8" w:space="0" w:color="581D74"/>
            </w:tcBorders>
            <w:shd w:val="clear" w:color="auto" w:fill="auto"/>
            <w:tcMar>
              <w:top w:w="57" w:type="dxa"/>
              <w:left w:w="113" w:type="dxa"/>
              <w:bottom w:w="57" w:type="dxa"/>
              <w:right w:w="113" w:type="dxa"/>
            </w:tcMar>
            <w:vAlign w:val="center"/>
          </w:tcPr>
          <w:p w:rsidR="00AD6429" w:rsidRPr="005E14CD" w:rsidRDefault="00AD6429" w:rsidP="00A44E53">
            <w:pPr>
              <w:jc w:val="center"/>
              <w:rPr>
                <w:b/>
                <w:color w:val="581D74"/>
                <w:sz w:val="19"/>
                <w:szCs w:val="19"/>
              </w:rPr>
            </w:pPr>
            <w:r>
              <w:rPr>
                <w:b/>
                <w:color w:val="581D74"/>
                <w:sz w:val="19"/>
                <w:szCs w:val="19"/>
              </w:rPr>
              <w:t xml:space="preserve">9M-14 / </w:t>
            </w:r>
            <w:r>
              <w:rPr>
                <w:b/>
                <w:color w:val="581D74"/>
                <w:sz w:val="19"/>
                <w:szCs w:val="19"/>
              </w:rPr>
              <w:br/>
              <w:t>9M-13</w:t>
            </w:r>
          </w:p>
        </w:tc>
      </w:tr>
      <w:tr w:rsidR="00AD6429" w:rsidRPr="00D61D41">
        <w:trPr>
          <w:trHeight w:val="510"/>
        </w:trPr>
        <w:tc>
          <w:tcPr>
            <w:tcW w:w="3543" w:type="dxa"/>
            <w:tcBorders>
              <w:top w:val="single" w:sz="8" w:space="0" w:color="581D74"/>
              <w:left w:val="single" w:sz="8" w:space="0" w:color="581D74"/>
              <w:bottom w:val="single" w:sz="8" w:space="0" w:color="581D74"/>
              <w:right w:val="single" w:sz="8" w:space="0" w:color="581D74"/>
            </w:tcBorders>
            <w:shd w:val="clear" w:color="auto" w:fill="auto"/>
            <w:vAlign w:val="center"/>
          </w:tcPr>
          <w:p w:rsidR="00AD6429" w:rsidRPr="005E14CD" w:rsidRDefault="00AD6429" w:rsidP="00A44E53">
            <w:pPr>
              <w:rPr>
                <w:color w:val="581D74"/>
                <w:sz w:val="19"/>
                <w:szCs w:val="19"/>
              </w:rPr>
            </w:pPr>
            <w:r w:rsidRPr="005E14CD">
              <w:rPr>
                <w:color w:val="581D74"/>
                <w:sz w:val="19"/>
                <w:szCs w:val="19"/>
              </w:rPr>
              <w:t>Produit net bancaire</w:t>
            </w:r>
            <w:r>
              <w:rPr>
                <w:color w:val="581D74"/>
                <w:sz w:val="19"/>
                <w:szCs w:val="19"/>
              </w:rPr>
              <w:t>**</w:t>
            </w:r>
          </w:p>
        </w:tc>
        <w:tc>
          <w:tcPr>
            <w:tcW w:w="1836" w:type="dxa"/>
            <w:tcBorders>
              <w:top w:val="nil"/>
              <w:left w:val="single" w:sz="8" w:space="0" w:color="581D74"/>
              <w:bottom w:val="single" w:sz="8" w:space="0" w:color="581D74"/>
              <w:right w:val="single" w:sz="8" w:space="0" w:color="581D74"/>
            </w:tcBorders>
            <w:shd w:val="clear" w:color="auto" w:fill="auto"/>
            <w:vAlign w:val="center"/>
          </w:tcPr>
          <w:p w:rsidR="00AD6429" w:rsidRPr="00874F3B" w:rsidRDefault="00AD6429" w:rsidP="00A44E53">
            <w:pPr>
              <w:jc w:val="right"/>
              <w:rPr>
                <w:sz w:val="19"/>
                <w:szCs w:val="19"/>
              </w:rPr>
            </w:pPr>
            <w:r w:rsidRPr="00874F3B">
              <w:rPr>
                <w:sz w:val="19"/>
                <w:szCs w:val="19"/>
              </w:rPr>
              <w:t>17 707</w:t>
            </w:r>
          </w:p>
        </w:tc>
        <w:tc>
          <w:tcPr>
            <w:tcW w:w="1260" w:type="dxa"/>
            <w:tcBorders>
              <w:top w:val="single" w:sz="8" w:space="0" w:color="581D74"/>
              <w:left w:val="single" w:sz="8" w:space="0" w:color="581D74"/>
              <w:bottom w:val="single" w:sz="8" w:space="0" w:color="581D74"/>
              <w:right w:val="single" w:sz="8" w:space="0" w:color="581D74"/>
            </w:tcBorders>
            <w:shd w:val="clear" w:color="auto" w:fill="auto"/>
            <w:vAlign w:val="center"/>
          </w:tcPr>
          <w:p w:rsidR="00AD6429" w:rsidRPr="00874F3B" w:rsidRDefault="00AD6429" w:rsidP="00A44E53">
            <w:pPr>
              <w:jc w:val="right"/>
              <w:rPr>
                <w:sz w:val="19"/>
                <w:szCs w:val="19"/>
              </w:rPr>
            </w:pPr>
            <w:r w:rsidRPr="00874F3B">
              <w:rPr>
                <w:sz w:val="19"/>
                <w:szCs w:val="19"/>
              </w:rPr>
              <w:t>+ 3,5 %</w:t>
            </w:r>
          </w:p>
        </w:tc>
        <w:tc>
          <w:tcPr>
            <w:tcW w:w="246" w:type="dxa"/>
            <w:vMerge/>
            <w:tcBorders>
              <w:top w:val="nil"/>
              <w:left w:val="single" w:sz="8" w:space="0" w:color="581D74"/>
              <w:bottom w:val="nil"/>
              <w:right w:val="single" w:sz="8" w:space="0" w:color="581D74"/>
            </w:tcBorders>
            <w:vAlign w:val="center"/>
          </w:tcPr>
          <w:p w:rsidR="00AD6429" w:rsidRPr="00874F3B" w:rsidRDefault="00AD6429" w:rsidP="00A44E53">
            <w:pPr>
              <w:pBdr>
                <w:bottom w:val="single" w:sz="4" w:space="1" w:color="581D74"/>
              </w:pBdr>
              <w:tabs>
                <w:tab w:val="left" w:pos="426"/>
              </w:tabs>
              <w:rPr>
                <w:b/>
                <w:sz w:val="19"/>
                <w:szCs w:val="19"/>
              </w:rPr>
            </w:pPr>
          </w:p>
        </w:tc>
        <w:tc>
          <w:tcPr>
            <w:tcW w:w="1183" w:type="dxa"/>
            <w:tcBorders>
              <w:top w:val="single" w:sz="8" w:space="0" w:color="581D74"/>
              <w:left w:val="single" w:sz="8" w:space="0" w:color="581D74"/>
              <w:bottom w:val="single" w:sz="8" w:space="0" w:color="581D74"/>
              <w:right w:val="single" w:sz="8" w:space="0" w:color="581D74"/>
            </w:tcBorders>
            <w:shd w:val="clear" w:color="auto" w:fill="auto"/>
            <w:tcMar>
              <w:top w:w="57" w:type="dxa"/>
              <w:left w:w="113" w:type="dxa"/>
              <w:bottom w:w="57" w:type="dxa"/>
              <w:right w:w="113" w:type="dxa"/>
            </w:tcMar>
            <w:vAlign w:val="center"/>
          </w:tcPr>
          <w:p w:rsidR="00AD6429" w:rsidRPr="00874F3B" w:rsidRDefault="00AD6429" w:rsidP="00A44E53">
            <w:pPr>
              <w:jc w:val="right"/>
              <w:rPr>
                <w:sz w:val="19"/>
                <w:szCs w:val="19"/>
              </w:rPr>
            </w:pPr>
            <w:r w:rsidRPr="00874F3B">
              <w:rPr>
                <w:sz w:val="19"/>
                <w:szCs w:val="19"/>
              </w:rPr>
              <w:t>16 454</w:t>
            </w:r>
          </w:p>
        </w:tc>
        <w:tc>
          <w:tcPr>
            <w:tcW w:w="1311" w:type="dxa"/>
            <w:tcBorders>
              <w:top w:val="single" w:sz="8" w:space="0" w:color="581D74"/>
              <w:left w:val="single" w:sz="8" w:space="0" w:color="581D74"/>
              <w:bottom w:val="single" w:sz="8" w:space="0" w:color="581D74"/>
              <w:right w:val="single" w:sz="8" w:space="0" w:color="581D74"/>
            </w:tcBorders>
            <w:shd w:val="clear" w:color="auto" w:fill="auto"/>
            <w:tcMar>
              <w:top w:w="57" w:type="dxa"/>
              <w:left w:w="113" w:type="dxa"/>
              <w:bottom w:w="57" w:type="dxa"/>
              <w:right w:w="113" w:type="dxa"/>
            </w:tcMar>
            <w:vAlign w:val="center"/>
          </w:tcPr>
          <w:p w:rsidR="00AD6429" w:rsidRPr="00874F3B" w:rsidRDefault="00AD6429" w:rsidP="00A44E53">
            <w:pPr>
              <w:jc w:val="right"/>
              <w:rPr>
                <w:sz w:val="19"/>
                <w:szCs w:val="19"/>
              </w:rPr>
            </w:pPr>
            <w:r w:rsidRPr="00874F3B">
              <w:rPr>
                <w:sz w:val="19"/>
                <w:szCs w:val="19"/>
              </w:rPr>
              <w:t>+ 2,9 %</w:t>
            </w:r>
          </w:p>
        </w:tc>
      </w:tr>
      <w:tr w:rsidR="00AD6429" w:rsidRPr="00D61D41">
        <w:trPr>
          <w:trHeight w:val="510"/>
        </w:trPr>
        <w:tc>
          <w:tcPr>
            <w:tcW w:w="3543" w:type="dxa"/>
            <w:tcBorders>
              <w:top w:val="single" w:sz="8" w:space="0" w:color="581D74"/>
              <w:left w:val="single" w:sz="8" w:space="0" w:color="581D74"/>
              <w:bottom w:val="single" w:sz="8" w:space="0" w:color="581D74"/>
              <w:right w:val="single" w:sz="8" w:space="0" w:color="581D74"/>
            </w:tcBorders>
            <w:shd w:val="clear" w:color="auto" w:fill="auto"/>
            <w:vAlign w:val="center"/>
          </w:tcPr>
          <w:p w:rsidR="00AD6429" w:rsidRPr="005E14CD" w:rsidRDefault="00AD6429" w:rsidP="00A44E53">
            <w:pPr>
              <w:rPr>
                <w:color w:val="581D74"/>
                <w:sz w:val="19"/>
                <w:szCs w:val="19"/>
              </w:rPr>
            </w:pPr>
            <w:r w:rsidRPr="005E14CD">
              <w:rPr>
                <w:color w:val="581D74"/>
                <w:sz w:val="19"/>
                <w:szCs w:val="19"/>
              </w:rPr>
              <w:t>Frais de gestion</w:t>
            </w:r>
          </w:p>
        </w:tc>
        <w:tc>
          <w:tcPr>
            <w:tcW w:w="1836" w:type="dxa"/>
            <w:tcBorders>
              <w:top w:val="single" w:sz="8" w:space="0" w:color="581D74"/>
              <w:left w:val="single" w:sz="8" w:space="0" w:color="581D74"/>
              <w:bottom w:val="single" w:sz="8" w:space="0" w:color="581D74"/>
              <w:right w:val="single" w:sz="8" w:space="0" w:color="581D74"/>
            </w:tcBorders>
            <w:shd w:val="clear" w:color="auto" w:fill="auto"/>
            <w:vAlign w:val="center"/>
          </w:tcPr>
          <w:p w:rsidR="00AD6429" w:rsidRPr="00874F3B" w:rsidRDefault="00AD6429" w:rsidP="00A44E53">
            <w:pPr>
              <w:jc w:val="right"/>
              <w:rPr>
                <w:sz w:val="19"/>
                <w:szCs w:val="19"/>
              </w:rPr>
            </w:pPr>
            <w:r w:rsidRPr="00874F3B">
              <w:rPr>
                <w:sz w:val="19"/>
                <w:szCs w:val="19"/>
              </w:rPr>
              <w:t>- 12 006</w:t>
            </w:r>
          </w:p>
        </w:tc>
        <w:tc>
          <w:tcPr>
            <w:tcW w:w="1260" w:type="dxa"/>
            <w:tcBorders>
              <w:top w:val="single" w:sz="8" w:space="0" w:color="581D74"/>
              <w:left w:val="single" w:sz="8" w:space="0" w:color="581D74"/>
              <w:bottom w:val="single" w:sz="8" w:space="0" w:color="581D74"/>
              <w:right w:val="single" w:sz="8" w:space="0" w:color="581D74"/>
            </w:tcBorders>
            <w:shd w:val="clear" w:color="auto" w:fill="auto"/>
            <w:vAlign w:val="center"/>
          </w:tcPr>
          <w:p w:rsidR="00AD6429" w:rsidRPr="00874F3B" w:rsidRDefault="00AD6429" w:rsidP="00A44E53">
            <w:pPr>
              <w:jc w:val="right"/>
              <w:rPr>
                <w:sz w:val="19"/>
                <w:szCs w:val="19"/>
              </w:rPr>
            </w:pPr>
            <w:r w:rsidRPr="00874F3B">
              <w:rPr>
                <w:sz w:val="19"/>
                <w:szCs w:val="19"/>
              </w:rPr>
              <w:t>+ 1,1 %</w:t>
            </w:r>
          </w:p>
        </w:tc>
        <w:tc>
          <w:tcPr>
            <w:tcW w:w="246" w:type="dxa"/>
            <w:vMerge/>
            <w:tcBorders>
              <w:top w:val="nil"/>
              <w:left w:val="single" w:sz="8" w:space="0" w:color="581D74"/>
              <w:bottom w:val="nil"/>
              <w:right w:val="single" w:sz="8" w:space="0" w:color="581D74"/>
            </w:tcBorders>
            <w:vAlign w:val="center"/>
          </w:tcPr>
          <w:p w:rsidR="00AD6429" w:rsidRPr="00874F3B" w:rsidRDefault="00AD6429" w:rsidP="00A44E53">
            <w:pPr>
              <w:pBdr>
                <w:bottom w:val="single" w:sz="4" w:space="1" w:color="581D74"/>
              </w:pBdr>
              <w:tabs>
                <w:tab w:val="left" w:pos="426"/>
              </w:tabs>
              <w:rPr>
                <w:b/>
                <w:sz w:val="19"/>
                <w:szCs w:val="19"/>
              </w:rPr>
            </w:pPr>
          </w:p>
        </w:tc>
        <w:tc>
          <w:tcPr>
            <w:tcW w:w="1183" w:type="dxa"/>
            <w:tcBorders>
              <w:top w:val="single" w:sz="8" w:space="0" w:color="581D74"/>
              <w:left w:val="single" w:sz="8" w:space="0" w:color="581D74"/>
              <w:bottom w:val="single" w:sz="8" w:space="0" w:color="581D74"/>
              <w:right w:val="single" w:sz="8" w:space="0" w:color="581D74"/>
            </w:tcBorders>
            <w:shd w:val="clear" w:color="auto" w:fill="auto"/>
            <w:tcMar>
              <w:top w:w="57" w:type="dxa"/>
              <w:left w:w="113" w:type="dxa"/>
              <w:bottom w:w="57" w:type="dxa"/>
              <w:right w:w="113" w:type="dxa"/>
            </w:tcMar>
            <w:vAlign w:val="center"/>
          </w:tcPr>
          <w:p w:rsidR="00AD6429" w:rsidRPr="00874F3B" w:rsidRDefault="00AD6429" w:rsidP="00A44E53">
            <w:pPr>
              <w:jc w:val="right"/>
              <w:rPr>
                <w:sz w:val="19"/>
                <w:szCs w:val="19"/>
              </w:rPr>
            </w:pPr>
            <w:r w:rsidRPr="00874F3B">
              <w:rPr>
                <w:sz w:val="19"/>
                <w:szCs w:val="19"/>
              </w:rPr>
              <w:t>- 10 704</w:t>
            </w:r>
          </w:p>
        </w:tc>
        <w:tc>
          <w:tcPr>
            <w:tcW w:w="1311" w:type="dxa"/>
            <w:tcBorders>
              <w:top w:val="single" w:sz="8" w:space="0" w:color="581D74"/>
              <w:left w:val="single" w:sz="8" w:space="0" w:color="581D74"/>
              <w:bottom w:val="single" w:sz="8" w:space="0" w:color="581D74"/>
              <w:right w:val="single" w:sz="8" w:space="0" w:color="581D74"/>
            </w:tcBorders>
            <w:shd w:val="clear" w:color="auto" w:fill="auto"/>
            <w:tcMar>
              <w:top w:w="57" w:type="dxa"/>
              <w:left w:w="113" w:type="dxa"/>
              <w:bottom w:w="57" w:type="dxa"/>
              <w:right w:w="113" w:type="dxa"/>
            </w:tcMar>
            <w:vAlign w:val="center"/>
          </w:tcPr>
          <w:p w:rsidR="00AD6429" w:rsidRPr="00874F3B" w:rsidRDefault="00AD6429" w:rsidP="00A44E53">
            <w:pPr>
              <w:jc w:val="right"/>
              <w:rPr>
                <w:sz w:val="19"/>
                <w:szCs w:val="19"/>
              </w:rPr>
            </w:pPr>
            <w:r w:rsidRPr="00874F3B">
              <w:rPr>
                <w:sz w:val="19"/>
                <w:szCs w:val="19"/>
              </w:rPr>
              <w:t>+ 1,3 %</w:t>
            </w:r>
          </w:p>
        </w:tc>
      </w:tr>
      <w:tr w:rsidR="00AD6429" w:rsidRPr="00D61D41">
        <w:trPr>
          <w:trHeight w:val="510"/>
        </w:trPr>
        <w:tc>
          <w:tcPr>
            <w:tcW w:w="3543" w:type="dxa"/>
            <w:tcBorders>
              <w:top w:val="single" w:sz="8" w:space="0" w:color="581D74"/>
              <w:left w:val="single" w:sz="8" w:space="0" w:color="581D74"/>
              <w:bottom w:val="single" w:sz="8" w:space="0" w:color="581D74"/>
              <w:right w:val="single" w:sz="8" w:space="0" w:color="581D74"/>
            </w:tcBorders>
            <w:shd w:val="clear" w:color="auto" w:fill="auto"/>
            <w:vAlign w:val="center"/>
          </w:tcPr>
          <w:p w:rsidR="00AD6429" w:rsidRPr="005E14CD" w:rsidRDefault="00AD6429" w:rsidP="00A44E53">
            <w:pPr>
              <w:rPr>
                <w:b/>
                <w:color w:val="581D74"/>
                <w:sz w:val="19"/>
                <w:szCs w:val="19"/>
              </w:rPr>
            </w:pPr>
            <w:r w:rsidRPr="005E14CD">
              <w:rPr>
                <w:b/>
                <w:bCs/>
                <w:i/>
                <w:iCs/>
                <w:color w:val="581D74"/>
                <w:sz w:val="19"/>
                <w:szCs w:val="19"/>
              </w:rPr>
              <w:t>Résultat brut d’exploitation</w:t>
            </w:r>
            <w:r>
              <w:rPr>
                <w:b/>
                <w:bCs/>
                <w:i/>
                <w:iCs/>
                <w:color w:val="581D74"/>
                <w:sz w:val="19"/>
                <w:szCs w:val="19"/>
              </w:rPr>
              <w:t>**</w:t>
            </w:r>
          </w:p>
          <w:p w:rsidR="00AD6429" w:rsidRPr="005E14CD" w:rsidRDefault="00AD6429" w:rsidP="00A44E53">
            <w:pPr>
              <w:rPr>
                <w:b/>
                <w:color w:val="581D74"/>
                <w:sz w:val="19"/>
                <w:szCs w:val="19"/>
              </w:rPr>
            </w:pPr>
            <w:r w:rsidRPr="005E14CD">
              <w:rPr>
                <w:b/>
                <w:bCs/>
                <w:i/>
                <w:iCs/>
                <w:color w:val="581D74"/>
                <w:sz w:val="19"/>
                <w:szCs w:val="19"/>
              </w:rPr>
              <w:t>Coefficient d’exploitation</w:t>
            </w:r>
          </w:p>
        </w:tc>
        <w:tc>
          <w:tcPr>
            <w:tcW w:w="1836" w:type="dxa"/>
            <w:tcBorders>
              <w:top w:val="single" w:sz="8" w:space="0" w:color="581D74"/>
              <w:left w:val="single" w:sz="8" w:space="0" w:color="581D74"/>
              <w:bottom w:val="single" w:sz="8" w:space="0" w:color="581D74"/>
              <w:right w:val="single" w:sz="8" w:space="0" w:color="581D74"/>
            </w:tcBorders>
            <w:shd w:val="clear" w:color="auto" w:fill="auto"/>
            <w:vAlign w:val="center"/>
          </w:tcPr>
          <w:p w:rsidR="00AD6429" w:rsidRPr="00874F3B" w:rsidRDefault="00AD6429" w:rsidP="00A44E53">
            <w:pPr>
              <w:jc w:val="right"/>
              <w:rPr>
                <w:b/>
                <w:sz w:val="19"/>
                <w:szCs w:val="19"/>
              </w:rPr>
            </w:pPr>
            <w:r w:rsidRPr="00874F3B">
              <w:rPr>
                <w:b/>
                <w:bCs/>
                <w:i/>
                <w:iCs/>
                <w:sz w:val="19"/>
                <w:szCs w:val="19"/>
              </w:rPr>
              <w:t>5 702</w:t>
            </w:r>
          </w:p>
          <w:p w:rsidR="00AD6429" w:rsidRPr="00874F3B" w:rsidRDefault="00AD6429" w:rsidP="00A44E53">
            <w:pPr>
              <w:jc w:val="right"/>
              <w:rPr>
                <w:b/>
                <w:sz w:val="19"/>
                <w:szCs w:val="19"/>
              </w:rPr>
            </w:pPr>
            <w:r w:rsidRPr="00874F3B">
              <w:rPr>
                <w:b/>
                <w:bCs/>
                <w:i/>
                <w:iCs/>
                <w:sz w:val="19"/>
                <w:szCs w:val="19"/>
              </w:rPr>
              <w:t>67,8 %</w:t>
            </w:r>
          </w:p>
        </w:tc>
        <w:tc>
          <w:tcPr>
            <w:tcW w:w="1260" w:type="dxa"/>
            <w:tcBorders>
              <w:top w:val="single" w:sz="8" w:space="0" w:color="581D74"/>
              <w:left w:val="single" w:sz="8" w:space="0" w:color="581D74"/>
              <w:bottom w:val="single" w:sz="8" w:space="0" w:color="581D74"/>
              <w:right w:val="single" w:sz="8" w:space="0" w:color="581D74"/>
            </w:tcBorders>
            <w:shd w:val="clear" w:color="auto" w:fill="auto"/>
            <w:vAlign w:val="center"/>
          </w:tcPr>
          <w:p w:rsidR="00AD6429" w:rsidRPr="00874F3B" w:rsidRDefault="00AD6429" w:rsidP="00A44E53">
            <w:pPr>
              <w:jc w:val="right"/>
              <w:rPr>
                <w:b/>
                <w:sz w:val="19"/>
                <w:szCs w:val="19"/>
              </w:rPr>
            </w:pPr>
            <w:r w:rsidRPr="00874F3B">
              <w:rPr>
                <w:b/>
                <w:bCs/>
                <w:i/>
                <w:iCs/>
                <w:sz w:val="19"/>
                <w:szCs w:val="19"/>
              </w:rPr>
              <w:t>+ 9,0 %</w:t>
            </w:r>
          </w:p>
          <w:p w:rsidR="00AD6429" w:rsidRPr="00874F3B" w:rsidRDefault="00AD6429" w:rsidP="00A44E53">
            <w:pPr>
              <w:jc w:val="right"/>
              <w:rPr>
                <w:b/>
                <w:sz w:val="19"/>
                <w:szCs w:val="19"/>
              </w:rPr>
            </w:pPr>
            <w:r w:rsidRPr="00874F3B">
              <w:rPr>
                <w:b/>
                <w:bCs/>
                <w:i/>
                <w:iCs/>
                <w:sz w:val="19"/>
                <w:szCs w:val="19"/>
              </w:rPr>
              <w:t>- 1,6 pt</w:t>
            </w:r>
          </w:p>
        </w:tc>
        <w:tc>
          <w:tcPr>
            <w:tcW w:w="246" w:type="dxa"/>
            <w:vMerge/>
            <w:tcBorders>
              <w:top w:val="nil"/>
              <w:left w:val="single" w:sz="8" w:space="0" w:color="581D74"/>
              <w:bottom w:val="nil"/>
              <w:right w:val="single" w:sz="8" w:space="0" w:color="581D74"/>
            </w:tcBorders>
            <w:vAlign w:val="center"/>
          </w:tcPr>
          <w:p w:rsidR="00AD6429" w:rsidRPr="00874F3B" w:rsidRDefault="00AD6429" w:rsidP="00A44E53">
            <w:pPr>
              <w:pBdr>
                <w:bottom w:val="single" w:sz="4" w:space="1" w:color="581D74"/>
              </w:pBdr>
              <w:tabs>
                <w:tab w:val="left" w:pos="426"/>
              </w:tabs>
              <w:rPr>
                <w:b/>
                <w:sz w:val="19"/>
                <w:szCs w:val="19"/>
              </w:rPr>
            </w:pPr>
          </w:p>
        </w:tc>
        <w:tc>
          <w:tcPr>
            <w:tcW w:w="1183" w:type="dxa"/>
            <w:tcBorders>
              <w:top w:val="single" w:sz="8" w:space="0" w:color="581D74"/>
              <w:left w:val="single" w:sz="8" w:space="0" w:color="581D74"/>
              <w:bottom w:val="single" w:sz="8" w:space="0" w:color="581D74"/>
              <w:right w:val="single" w:sz="8" w:space="0" w:color="581D74"/>
            </w:tcBorders>
            <w:shd w:val="clear" w:color="auto" w:fill="auto"/>
            <w:tcMar>
              <w:top w:w="57" w:type="dxa"/>
              <w:left w:w="113" w:type="dxa"/>
              <w:bottom w:w="57" w:type="dxa"/>
              <w:right w:w="113" w:type="dxa"/>
            </w:tcMar>
            <w:vAlign w:val="center"/>
          </w:tcPr>
          <w:p w:rsidR="00AD6429" w:rsidRPr="00874F3B" w:rsidRDefault="00AD6429" w:rsidP="00A44E53">
            <w:pPr>
              <w:jc w:val="right"/>
              <w:rPr>
                <w:b/>
                <w:sz w:val="19"/>
                <w:szCs w:val="19"/>
              </w:rPr>
            </w:pPr>
            <w:r w:rsidRPr="00874F3B">
              <w:rPr>
                <w:b/>
                <w:bCs/>
                <w:i/>
                <w:iCs/>
                <w:sz w:val="19"/>
                <w:szCs w:val="19"/>
              </w:rPr>
              <w:t>5 750</w:t>
            </w:r>
          </w:p>
          <w:p w:rsidR="00AD6429" w:rsidRPr="00874F3B" w:rsidRDefault="00AD6429" w:rsidP="00A44E53">
            <w:pPr>
              <w:jc w:val="right"/>
              <w:rPr>
                <w:b/>
                <w:sz w:val="19"/>
                <w:szCs w:val="19"/>
              </w:rPr>
            </w:pPr>
            <w:r w:rsidRPr="00874F3B">
              <w:rPr>
                <w:b/>
                <w:bCs/>
                <w:i/>
                <w:iCs/>
                <w:sz w:val="19"/>
                <w:szCs w:val="19"/>
              </w:rPr>
              <w:t>65,1 %</w:t>
            </w:r>
          </w:p>
        </w:tc>
        <w:tc>
          <w:tcPr>
            <w:tcW w:w="1311" w:type="dxa"/>
            <w:tcBorders>
              <w:top w:val="single" w:sz="8" w:space="0" w:color="581D74"/>
              <w:left w:val="single" w:sz="8" w:space="0" w:color="581D74"/>
              <w:bottom w:val="single" w:sz="8" w:space="0" w:color="581D74"/>
              <w:right w:val="single" w:sz="8" w:space="0" w:color="581D74"/>
            </w:tcBorders>
            <w:shd w:val="clear" w:color="auto" w:fill="auto"/>
            <w:tcMar>
              <w:top w:w="57" w:type="dxa"/>
              <w:left w:w="113" w:type="dxa"/>
              <w:bottom w:w="57" w:type="dxa"/>
              <w:right w:w="113" w:type="dxa"/>
            </w:tcMar>
            <w:vAlign w:val="center"/>
          </w:tcPr>
          <w:p w:rsidR="00AD6429" w:rsidRPr="00874F3B" w:rsidRDefault="00AD6429" w:rsidP="00A44E53">
            <w:pPr>
              <w:jc w:val="right"/>
              <w:rPr>
                <w:b/>
                <w:sz w:val="19"/>
                <w:szCs w:val="19"/>
              </w:rPr>
            </w:pPr>
            <w:r w:rsidRPr="00874F3B">
              <w:rPr>
                <w:b/>
                <w:bCs/>
                <w:i/>
                <w:iCs/>
                <w:sz w:val="19"/>
                <w:szCs w:val="19"/>
              </w:rPr>
              <w:t>+ 6,1 %</w:t>
            </w:r>
          </w:p>
          <w:p w:rsidR="00AD6429" w:rsidRPr="00874F3B" w:rsidRDefault="00AD6429" w:rsidP="00A44E53">
            <w:pPr>
              <w:jc w:val="right"/>
              <w:rPr>
                <w:b/>
                <w:sz w:val="19"/>
                <w:szCs w:val="19"/>
              </w:rPr>
            </w:pPr>
            <w:r w:rsidRPr="00874F3B">
              <w:rPr>
                <w:b/>
                <w:bCs/>
                <w:i/>
                <w:iCs/>
                <w:sz w:val="19"/>
                <w:szCs w:val="19"/>
              </w:rPr>
              <w:t>- 1,0 pt</w:t>
            </w:r>
          </w:p>
        </w:tc>
      </w:tr>
      <w:tr w:rsidR="00AD6429" w:rsidRPr="00D61D41">
        <w:trPr>
          <w:trHeight w:val="510"/>
        </w:trPr>
        <w:tc>
          <w:tcPr>
            <w:tcW w:w="3543" w:type="dxa"/>
            <w:tcBorders>
              <w:top w:val="single" w:sz="8" w:space="0" w:color="581D74"/>
              <w:left w:val="single" w:sz="8" w:space="0" w:color="581D74"/>
              <w:bottom w:val="single" w:sz="8" w:space="0" w:color="581D74"/>
              <w:right w:val="single" w:sz="8" w:space="0" w:color="581D74"/>
            </w:tcBorders>
            <w:shd w:val="clear" w:color="auto" w:fill="auto"/>
            <w:vAlign w:val="center"/>
          </w:tcPr>
          <w:p w:rsidR="00AD6429" w:rsidRPr="005E14CD" w:rsidRDefault="00AD6429" w:rsidP="00A44E53">
            <w:pPr>
              <w:rPr>
                <w:color w:val="581D74"/>
                <w:sz w:val="19"/>
                <w:szCs w:val="19"/>
              </w:rPr>
            </w:pPr>
            <w:r w:rsidRPr="005E14CD">
              <w:rPr>
                <w:color w:val="581D74"/>
                <w:sz w:val="19"/>
                <w:szCs w:val="19"/>
              </w:rPr>
              <w:t>Coût du risque</w:t>
            </w:r>
          </w:p>
        </w:tc>
        <w:tc>
          <w:tcPr>
            <w:tcW w:w="1836" w:type="dxa"/>
            <w:tcBorders>
              <w:top w:val="single" w:sz="8" w:space="0" w:color="581D74"/>
              <w:left w:val="single" w:sz="8" w:space="0" w:color="581D74"/>
              <w:bottom w:val="single" w:sz="8" w:space="0" w:color="581D74"/>
              <w:right w:val="single" w:sz="8" w:space="0" w:color="581D74"/>
            </w:tcBorders>
            <w:shd w:val="clear" w:color="auto" w:fill="auto"/>
            <w:vAlign w:val="center"/>
          </w:tcPr>
          <w:p w:rsidR="00AD6429" w:rsidRPr="00874F3B" w:rsidRDefault="00AD6429" w:rsidP="00A44E53">
            <w:pPr>
              <w:jc w:val="right"/>
              <w:rPr>
                <w:sz w:val="19"/>
                <w:szCs w:val="19"/>
              </w:rPr>
            </w:pPr>
            <w:r w:rsidRPr="00874F3B">
              <w:rPr>
                <w:sz w:val="19"/>
                <w:szCs w:val="19"/>
              </w:rPr>
              <w:t>- 1 337</w:t>
            </w:r>
          </w:p>
        </w:tc>
        <w:tc>
          <w:tcPr>
            <w:tcW w:w="1260" w:type="dxa"/>
            <w:tcBorders>
              <w:top w:val="single" w:sz="8" w:space="0" w:color="581D74"/>
              <w:left w:val="single" w:sz="8" w:space="0" w:color="581D74"/>
              <w:bottom w:val="single" w:sz="8" w:space="0" w:color="581D74"/>
              <w:right w:val="single" w:sz="8" w:space="0" w:color="581D74"/>
            </w:tcBorders>
            <w:shd w:val="clear" w:color="auto" w:fill="auto"/>
            <w:vAlign w:val="center"/>
          </w:tcPr>
          <w:p w:rsidR="00AD6429" w:rsidRPr="00874F3B" w:rsidRDefault="00AD6429" w:rsidP="00A44E53">
            <w:pPr>
              <w:jc w:val="right"/>
              <w:rPr>
                <w:sz w:val="19"/>
                <w:szCs w:val="19"/>
              </w:rPr>
            </w:pPr>
            <w:r w:rsidRPr="00874F3B">
              <w:rPr>
                <w:sz w:val="19"/>
                <w:szCs w:val="19"/>
              </w:rPr>
              <w:t>- 9,4 %</w:t>
            </w:r>
          </w:p>
        </w:tc>
        <w:tc>
          <w:tcPr>
            <w:tcW w:w="246" w:type="dxa"/>
            <w:vMerge/>
            <w:tcBorders>
              <w:top w:val="nil"/>
              <w:left w:val="single" w:sz="8" w:space="0" w:color="581D74"/>
              <w:bottom w:val="nil"/>
              <w:right w:val="single" w:sz="8" w:space="0" w:color="581D74"/>
            </w:tcBorders>
            <w:vAlign w:val="center"/>
          </w:tcPr>
          <w:p w:rsidR="00AD6429" w:rsidRPr="00874F3B" w:rsidRDefault="00AD6429" w:rsidP="00A44E53">
            <w:pPr>
              <w:pBdr>
                <w:bottom w:val="single" w:sz="4" w:space="1" w:color="581D74"/>
              </w:pBdr>
              <w:tabs>
                <w:tab w:val="left" w:pos="426"/>
              </w:tabs>
              <w:rPr>
                <w:b/>
                <w:sz w:val="19"/>
                <w:szCs w:val="19"/>
              </w:rPr>
            </w:pPr>
          </w:p>
        </w:tc>
        <w:tc>
          <w:tcPr>
            <w:tcW w:w="1183" w:type="dxa"/>
            <w:tcBorders>
              <w:top w:val="single" w:sz="8" w:space="0" w:color="581D74"/>
              <w:left w:val="single" w:sz="8" w:space="0" w:color="581D74"/>
              <w:bottom w:val="single" w:sz="8" w:space="0" w:color="581D74"/>
              <w:right w:val="single" w:sz="8" w:space="0" w:color="581D74"/>
            </w:tcBorders>
            <w:shd w:val="clear" w:color="auto" w:fill="auto"/>
            <w:tcMar>
              <w:top w:w="57" w:type="dxa"/>
              <w:left w:w="113" w:type="dxa"/>
              <w:bottom w:w="57" w:type="dxa"/>
              <w:right w:w="113" w:type="dxa"/>
            </w:tcMar>
            <w:vAlign w:val="center"/>
          </w:tcPr>
          <w:p w:rsidR="00AD6429" w:rsidRPr="00874F3B" w:rsidRDefault="00AD6429" w:rsidP="00A44E53">
            <w:pPr>
              <w:jc w:val="right"/>
              <w:rPr>
                <w:sz w:val="19"/>
                <w:szCs w:val="19"/>
              </w:rPr>
            </w:pPr>
            <w:r w:rsidRPr="00874F3B">
              <w:rPr>
                <w:sz w:val="19"/>
                <w:szCs w:val="19"/>
              </w:rPr>
              <w:t>- 1 249</w:t>
            </w:r>
          </w:p>
        </w:tc>
        <w:tc>
          <w:tcPr>
            <w:tcW w:w="1311" w:type="dxa"/>
            <w:tcBorders>
              <w:top w:val="single" w:sz="8" w:space="0" w:color="581D74"/>
              <w:left w:val="single" w:sz="8" w:space="0" w:color="581D74"/>
              <w:bottom w:val="single" w:sz="8" w:space="0" w:color="581D74"/>
              <w:right w:val="single" w:sz="8" w:space="0" w:color="581D74"/>
            </w:tcBorders>
            <w:shd w:val="clear" w:color="auto" w:fill="auto"/>
            <w:tcMar>
              <w:top w:w="57" w:type="dxa"/>
              <w:left w:w="113" w:type="dxa"/>
              <w:bottom w:w="57" w:type="dxa"/>
              <w:right w:w="113" w:type="dxa"/>
            </w:tcMar>
            <w:vAlign w:val="center"/>
          </w:tcPr>
          <w:p w:rsidR="00AD6429" w:rsidRPr="00874F3B" w:rsidRDefault="00AD6429" w:rsidP="00A44E53">
            <w:pPr>
              <w:jc w:val="right"/>
              <w:rPr>
                <w:sz w:val="19"/>
                <w:szCs w:val="19"/>
              </w:rPr>
            </w:pPr>
            <w:r w:rsidRPr="00874F3B">
              <w:rPr>
                <w:sz w:val="19"/>
                <w:szCs w:val="19"/>
              </w:rPr>
              <w:t>- 10,6 %</w:t>
            </w:r>
          </w:p>
        </w:tc>
      </w:tr>
      <w:tr w:rsidR="00AD6429" w:rsidRPr="00D61D41">
        <w:trPr>
          <w:trHeight w:val="510"/>
        </w:trPr>
        <w:tc>
          <w:tcPr>
            <w:tcW w:w="3543" w:type="dxa"/>
            <w:tcBorders>
              <w:top w:val="single" w:sz="8" w:space="0" w:color="581D74"/>
              <w:left w:val="single" w:sz="8" w:space="0" w:color="581D74"/>
              <w:bottom w:val="single" w:sz="8" w:space="0" w:color="581D74"/>
              <w:right w:val="single" w:sz="8" w:space="0" w:color="581D74"/>
            </w:tcBorders>
            <w:shd w:val="clear" w:color="auto" w:fill="auto"/>
            <w:vAlign w:val="center"/>
          </w:tcPr>
          <w:p w:rsidR="00AD6429" w:rsidRPr="005E14CD" w:rsidRDefault="00AD6429" w:rsidP="00A44E53">
            <w:pPr>
              <w:rPr>
                <w:b/>
                <w:color w:val="581D74"/>
                <w:sz w:val="19"/>
                <w:szCs w:val="19"/>
              </w:rPr>
            </w:pPr>
            <w:r w:rsidRPr="005E14CD">
              <w:rPr>
                <w:b/>
                <w:bCs/>
                <w:i/>
                <w:iCs/>
                <w:color w:val="581D74"/>
                <w:sz w:val="19"/>
                <w:szCs w:val="19"/>
              </w:rPr>
              <w:t>Résultat avant impôt</w:t>
            </w:r>
            <w:r>
              <w:rPr>
                <w:b/>
                <w:bCs/>
                <w:i/>
                <w:iCs/>
                <w:color w:val="581D74"/>
                <w:sz w:val="19"/>
                <w:szCs w:val="19"/>
              </w:rPr>
              <w:t>**</w:t>
            </w:r>
          </w:p>
        </w:tc>
        <w:tc>
          <w:tcPr>
            <w:tcW w:w="1836" w:type="dxa"/>
            <w:tcBorders>
              <w:top w:val="single" w:sz="8" w:space="0" w:color="581D74"/>
              <w:left w:val="single" w:sz="8" w:space="0" w:color="581D74"/>
              <w:bottom w:val="single" w:sz="8" w:space="0" w:color="581D74"/>
              <w:right w:val="single" w:sz="8" w:space="0" w:color="581D74"/>
            </w:tcBorders>
            <w:shd w:val="clear" w:color="auto" w:fill="auto"/>
            <w:vAlign w:val="center"/>
          </w:tcPr>
          <w:p w:rsidR="00AD6429" w:rsidRPr="00874F3B" w:rsidRDefault="00AD6429" w:rsidP="00A44E53">
            <w:pPr>
              <w:jc w:val="right"/>
              <w:rPr>
                <w:b/>
                <w:sz w:val="19"/>
                <w:szCs w:val="19"/>
              </w:rPr>
            </w:pPr>
            <w:r w:rsidRPr="00874F3B">
              <w:rPr>
                <w:b/>
                <w:bCs/>
                <w:i/>
                <w:iCs/>
                <w:sz w:val="19"/>
                <w:szCs w:val="19"/>
              </w:rPr>
              <w:t>4 500</w:t>
            </w:r>
          </w:p>
        </w:tc>
        <w:tc>
          <w:tcPr>
            <w:tcW w:w="1260" w:type="dxa"/>
            <w:tcBorders>
              <w:top w:val="single" w:sz="8" w:space="0" w:color="581D74"/>
              <w:left w:val="single" w:sz="8" w:space="0" w:color="581D74"/>
              <w:bottom w:val="single" w:sz="8" w:space="0" w:color="581D74"/>
              <w:right w:val="single" w:sz="8" w:space="0" w:color="581D74"/>
            </w:tcBorders>
            <w:shd w:val="clear" w:color="auto" w:fill="auto"/>
            <w:vAlign w:val="center"/>
          </w:tcPr>
          <w:p w:rsidR="00AD6429" w:rsidRPr="00874F3B" w:rsidRDefault="00AD6429" w:rsidP="00A44E53">
            <w:pPr>
              <w:jc w:val="right"/>
              <w:rPr>
                <w:b/>
                <w:sz w:val="19"/>
                <w:szCs w:val="19"/>
              </w:rPr>
            </w:pPr>
            <w:r w:rsidRPr="00874F3B">
              <w:rPr>
                <w:b/>
                <w:bCs/>
                <w:i/>
                <w:iCs/>
                <w:sz w:val="19"/>
                <w:szCs w:val="19"/>
              </w:rPr>
              <w:t>+ 13,8 %</w:t>
            </w:r>
          </w:p>
        </w:tc>
        <w:tc>
          <w:tcPr>
            <w:tcW w:w="246" w:type="dxa"/>
            <w:vMerge/>
            <w:tcBorders>
              <w:top w:val="nil"/>
              <w:left w:val="single" w:sz="8" w:space="0" w:color="581D74"/>
              <w:bottom w:val="nil"/>
              <w:right w:val="single" w:sz="8" w:space="0" w:color="581D74"/>
            </w:tcBorders>
            <w:vAlign w:val="center"/>
          </w:tcPr>
          <w:p w:rsidR="00AD6429" w:rsidRPr="00874F3B" w:rsidRDefault="00AD6429" w:rsidP="00A44E53">
            <w:pPr>
              <w:pBdr>
                <w:bottom w:val="single" w:sz="4" w:space="1" w:color="581D74"/>
              </w:pBdr>
              <w:tabs>
                <w:tab w:val="left" w:pos="426"/>
              </w:tabs>
              <w:rPr>
                <w:b/>
                <w:sz w:val="19"/>
                <w:szCs w:val="19"/>
              </w:rPr>
            </w:pPr>
          </w:p>
        </w:tc>
        <w:tc>
          <w:tcPr>
            <w:tcW w:w="1183" w:type="dxa"/>
            <w:tcBorders>
              <w:top w:val="single" w:sz="8" w:space="0" w:color="581D74"/>
              <w:left w:val="single" w:sz="8" w:space="0" w:color="581D74"/>
              <w:bottom w:val="single" w:sz="8" w:space="0" w:color="581D74"/>
              <w:right w:val="single" w:sz="8" w:space="0" w:color="581D74"/>
            </w:tcBorders>
            <w:shd w:val="clear" w:color="auto" w:fill="auto"/>
            <w:tcMar>
              <w:top w:w="57" w:type="dxa"/>
              <w:left w:w="113" w:type="dxa"/>
              <w:bottom w:w="57" w:type="dxa"/>
              <w:right w:w="113" w:type="dxa"/>
            </w:tcMar>
            <w:vAlign w:val="center"/>
          </w:tcPr>
          <w:p w:rsidR="00AD6429" w:rsidRPr="00874F3B" w:rsidRDefault="00AD6429" w:rsidP="00A44E53">
            <w:pPr>
              <w:jc w:val="right"/>
              <w:rPr>
                <w:b/>
                <w:sz w:val="19"/>
                <w:szCs w:val="19"/>
              </w:rPr>
            </w:pPr>
            <w:r w:rsidRPr="00874F3B">
              <w:rPr>
                <w:b/>
                <w:bCs/>
                <w:i/>
                <w:iCs/>
                <w:sz w:val="19"/>
                <w:szCs w:val="19"/>
              </w:rPr>
              <w:t>4 703</w:t>
            </w:r>
          </w:p>
        </w:tc>
        <w:tc>
          <w:tcPr>
            <w:tcW w:w="1311" w:type="dxa"/>
            <w:tcBorders>
              <w:top w:val="single" w:sz="8" w:space="0" w:color="581D74"/>
              <w:left w:val="single" w:sz="8" w:space="0" w:color="581D74"/>
              <w:bottom w:val="single" w:sz="8" w:space="0" w:color="581D74"/>
              <w:right w:val="single" w:sz="8" w:space="0" w:color="7030A0"/>
            </w:tcBorders>
            <w:shd w:val="clear" w:color="auto" w:fill="auto"/>
            <w:tcMar>
              <w:top w:w="57" w:type="dxa"/>
              <w:left w:w="113" w:type="dxa"/>
              <w:bottom w:w="57" w:type="dxa"/>
              <w:right w:w="113" w:type="dxa"/>
            </w:tcMar>
            <w:vAlign w:val="center"/>
          </w:tcPr>
          <w:p w:rsidR="00AD6429" w:rsidRPr="00874F3B" w:rsidRDefault="00AD6429" w:rsidP="00A44E53">
            <w:pPr>
              <w:jc w:val="right"/>
              <w:rPr>
                <w:b/>
                <w:sz w:val="19"/>
                <w:szCs w:val="19"/>
              </w:rPr>
            </w:pPr>
            <w:r w:rsidRPr="00874F3B">
              <w:rPr>
                <w:b/>
                <w:bCs/>
                <w:i/>
                <w:iCs/>
                <w:sz w:val="19"/>
                <w:szCs w:val="19"/>
              </w:rPr>
              <w:t>+ 12,3 %</w:t>
            </w:r>
          </w:p>
        </w:tc>
      </w:tr>
      <w:tr w:rsidR="00AD6429" w:rsidRPr="00D61D41">
        <w:trPr>
          <w:trHeight w:val="510"/>
        </w:trPr>
        <w:tc>
          <w:tcPr>
            <w:tcW w:w="3543" w:type="dxa"/>
            <w:tcBorders>
              <w:top w:val="single" w:sz="8" w:space="0" w:color="581D74"/>
              <w:left w:val="single" w:sz="8" w:space="0" w:color="581D74"/>
              <w:bottom w:val="single" w:sz="8" w:space="0" w:color="581D74"/>
              <w:right w:val="single" w:sz="8" w:space="0" w:color="581D74"/>
            </w:tcBorders>
            <w:shd w:val="clear" w:color="auto" w:fill="auto"/>
            <w:vAlign w:val="center"/>
          </w:tcPr>
          <w:p w:rsidR="00AD6429" w:rsidRDefault="00AD6429" w:rsidP="00A44E53">
            <w:pPr>
              <w:rPr>
                <w:b/>
                <w:bCs/>
                <w:color w:val="581D74"/>
                <w:sz w:val="19"/>
                <w:szCs w:val="19"/>
              </w:rPr>
            </w:pPr>
            <w:r w:rsidRPr="005E14CD">
              <w:rPr>
                <w:b/>
                <w:bCs/>
                <w:color w:val="581D74"/>
                <w:sz w:val="19"/>
                <w:szCs w:val="19"/>
              </w:rPr>
              <w:t>Résultat net part du groupe</w:t>
            </w:r>
            <w:r>
              <w:rPr>
                <w:b/>
                <w:bCs/>
                <w:color w:val="581D74"/>
                <w:sz w:val="19"/>
                <w:szCs w:val="19"/>
              </w:rPr>
              <w:t>**</w:t>
            </w:r>
          </w:p>
          <w:p w:rsidR="00AD6429" w:rsidRPr="007A7CCD" w:rsidRDefault="00AD6429" w:rsidP="00A44E53">
            <w:pPr>
              <w:jc w:val="right"/>
              <w:rPr>
                <w:i/>
                <w:color w:val="581D74"/>
                <w:sz w:val="19"/>
                <w:szCs w:val="19"/>
              </w:rPr>
            </w:pPr>
            <w:r w:rsidRPr="007A7CCD">
              <w:rPr>
                <w:bCs/>
                <w:i/>
                <w:color w:val="581D74"/>
                <w:sz w:val="19"/>
                <w:szCs w:val="19"/>
              </w:rPr>
              <w:t>Impact en résultat de la réévaluation de la dette propre</w:t>
            </w:r>
          </w:p>
        </w:tc>
        <w:tc>
          <w:tcPr>
            <w:tcW w:w="1836" w:type="dxa"/>
            <w:tcBorders>
              <w:top w:val="single" w:sz="8" w:space="0" w:color="581D74"/>
              <w:left w:val="single" w:sz="8" w:space="0" w:color="581D74"/>
              <w:bottom w:val="single" w:sz="8" w:space="0" w:color="581D74"/>
              <w:right w:val="single" w:sz="8" w:space="0" w:color="581D74"/>
            </w:tcBorders>
            <w:shd w:val="clear" w:color="auto" w:fill="auto"/>
            <w:vAlign w:val="center"/>
          </w:tcPr>
          <w:p w:rsidR="00AD6429" w:rsidRPr="00874F3B" w:rsidRDefault="00AD6429" w:rsidP="00A44E53">
            <w:pPr>
              <w:jc w:val="right"/>
              <w:rPr>
                <w:b/>
                <w:bCs/>
                <w:i/>
                <w:iCs/>
                <w:sz w:val="19"/>
                <w:szCs w:val="19"/>
              </w:rPr>
            </w:pPr>
            <w:r w:rsidRPr="00874F3B">
              <w:rPr>
                <w:b/>
                <w:bCs/>
                <w:i/>
                <w:iCs/>
                <w:sz w:val="19"/>
                <w:szCs w:val="19"/>
              </w:rPr>
              <w:t>2 504</w:t>
            </w:r>
          </w:p>
          <w:p w:rsidR="00AD6429" w:rsidRPr="00874F3B" w:rsidRDefault="00AD6429" w:rsidP="00A44E53">
            <w:pPr>
              <w:jc w:val="right"/>
              <w:rPr>
                <w:bCs/>
                <w:i/>
                <w:iCs/>
                <w:sz w:val="19"/>
                <w:szCs w:val="19"/>
              </w:rPr>
            </w:pPr>
            <w:r w:rsidRPr="00874F3B">
              <w:rPr>
                <w:bCs/>
                <w:i/>
                <w:iCs/>
                <w:sz w:val="19"/>
                <w:szCs w:val="19"/>
              </w:rPr>
              <w:t>- 120</w:t>
            </w:r>
          </w:p>
        </w:tc>
        <w:tc>
          <w:tcPr>
            <w:tcW w:w="1260" w:type="dxa"/>
            <w:tcBorders>
              <w:top w:val="single" w:sz="8" w:space="0" w:color="581D74"/>
              <w:left w:val="single" w:sz="8" w:space="0" w:color="581D74"/>
              <w:bottom w:val="single" w:sz="8" w:space="0" w:color="581D74"/>
              <w:right w:val="single" w:sz="8" w:space="0" w:color="581D74"/>
            </w:tcBorders>
            <w:shd w:val="clear" w:color="auto" w:fill="auto"/>
            <w:vAlign w:val="center"/>
          </w:tcPr>
          <w:p w:rsidR="00AD6429" w:rsidRPr="00874F3B" w:rsidRDefault="00AD6429" w:rsidP="00A44E53">
            <w:pPr>
              <w:jc w:val="right"/>
              <w:rPr>
                <w:b/>
                <w:bCs/>
                <w:sz w:val="19"/>
                <w:szCs w:val="19"/>
              </w:rPr>
            </w:pPr>
            <w:r w:rsidRPr="00874F3B">
              <w:rPr>
                <w:b/>
                <w:bCs/>
                <w:sz w:val="19"/>
                <w:szCs w:val="19"/>
              </w:rPr>
              <w:t>+ 8,2 %</w:t>
            </w:r>
          </w:p>
          <w:p w:rsidR="00AD6429" w:rsidRPr="00874F3B" w:rsidRDefault="00874F3B" w:rsidP="00A44E53">
            <w:pPr>
              <w:jc w:val="right"/>
              <w:rPr>
                <w:i/>
                <w:sz w:val="19"/>
                <w:szCs w:val="19"/>
              </w:rPr>
            </w:pPr>
            <w:r w:rsidRPr="00874F3B">
              <w:rPr>
                <w:bCs/>
                <w:i/>
                <w:sz w:val="19"/>
                <w:szCs w:val="19"/>
              </w:rPr>
              <w:t>ns</w:t>
            </w:r>
          </w:p>
        </w:tc>
        <w:tc>
          <w:tcPr>
            <w:tcW w:w="246" w:type="dxa"/>
            <w:vMerge/>
            <w:tcBorders>
              <w:top w:val="nil"/>
              <w:left w:val="single" w:sz="8" w:space="0" w:color="581D74"/>
              <w:bottom w:val="nil"/>
              <w:right w:val="single" w:sz="8" w:space="0" w:color="581D74"/>
            </w:tcBorders>
            <w:vAlign w:val="center"/>
          </w:tcPr>
          <w:p w:rsidR="00AD6429" w:rsidRPr="00874F3B" w:rsidRDefault="00AD6429" w:rsidP="00A44E53">
            <w:pPr>
              <w:pBdr>
                <w:bottom w:val="single" w:sz="4" w:space="1" w:color="581D74"/>
              </w:pBdr>
              <w:tabs>
                <w:tab w:val="left" w:pos="426"/>
              </w:tabs>
              <w:rPr>
                <w:b/>
                <w:sz w:val="19"/>
                <w:szCs w:val="19"/>
              </w:rPr>
            </w:pPr>
          </w:p>
        </w:tc>
        <w:tc>
          <w:tcPr>
            <w:tcW w:w="1183" w:type="dxa"/>
            <w:tcBorders>
              <w:top w:val="single" w:sz="8" w:space="0" w:color="581D74"/>
              <w:left w:val="single" w:sz="8" w:space="0" w:color="581D74"/>
              <w:bottom w:val="single" w:sz="8" w:space="0" w:color="581D74"/>
              <w:right w:val="single" w:sz="8" w:space="0" w:color="581D74"/>
            </w:tcBorders>
            <w:shd w:val="clear" w:color="auto" w:fill="auto"/>
            <w:tcMar>
              <w:top w:w="57" w:type="dxa"/>
              <w:left w:w="113" w:type="dxa"/>
              <w:bottom w:w="57" w:type="dxa"/>
              <w:right w:w="113" w:type="dxa"/>
            </w:tcMar>
            <w:vAlign w:val="center"/>
          </w:tcPr>
          <w:p w:rsidR="00AD6429" w:rsidRPr="00874F3B" w:rsidRDefault="00AD6429" w:rsidP="00A44E53">
            <w:pPr>
              <w:jc w:val="right"/>
              <w:rPr>
                <w:sz w:val="19"/>
                <w:szCs w:val="19"/>
              </w:rPr>
            </w:pPr>
            <w:r w:rsidRPr="00874F3B">
              <w:rPr>
                <w:bCs/>
                <w:sz w:val="19"/>
                <w:szCs w:val="19"/>
              </w:rPr>
              <w:t xml:space="preserve">-  </w:t>
            </w:r>
          </w:p>
        </w:tc>
        <w:tc>
          <w:tcPr>
            <w:tcW w:w="1311" w:type="dxa"/>
            <w:tcBorders>
              <w:top w:val="single" w:sz="8" w:space="0" w:color="581D74"/>
              <w:left w:val="single" w:sz="8" w:space="0" w:color="581D74"/>
              <w:bottom w:val="single" w:sz="8" w:space="0" w:color="581D74"/>
              <w:right w:val="single" w:sz="8" w:space="0" w:color="7030A0"/>
            </w:tcBorders>
            <w:shd w:val="clear" w:color="auto" w:fill="auto"/>
            <w:tcMar>
              <w:top w:w="57" w:type="dxa"/>
              <w:left w:w="113" w:type="dxa"/>
              <w:bottom w:w="57" w:type="dxa"/>
              <w:right w:w="113" w:type="dxa"/>
            </w:tcMar>
            <w:vAlign w:val="center"/>
          </w:tcPr>
          <w:p w:rsidR="00AD6429" w:rsidRPr="00874F3B" w:rsidRDefault="00AD6429" w:rsidP="00A44E53">
            <w:pPr>
              <w:jc w:val="right"/>
              <w:rPr>
                <w:sz w:val="19"/>
                <w:szCs w:val="19"/>
              </w:rPr>
            </w:pPr>
            <w:r w:rsidRPr="00874F3B">
              <w:rPr>
                <w:bCs/>
                <w:sz w:val="19"/>
                <w:szCs w:val="19"/>
              </w:rPr>
              <w:t xml:space="preserve">-  </w:t>
            </w:r>
          </w:p>
        </w:tc>
      </w:tr>
      <w:tr w:rsidR="00AD6429" w:rsidRPr="00D61D41">
        <w:trPr>
          <w:trHeight w:val="510"/>
        </w:trPr>
        <w:tc>
          <w:tcPr>
            <w:tcW w:w="3543" w:type="dxa"/>
            <w:tcBorders>
              <w:top w:val="single" w:sz="8" w:space="0" w:color="581D74"/>
              <w:left w:val="single" w:sz="8" w:space="0" w:color="581D74"/>
              <w:bottom w:val="single" w:sz="8" w:space="0" w:color="581D74"/>
              <w:right w:val="single" w:sz="8" w:space="0" w:color="581D74"/>
            </w:tcBorders>
            <w:shd w:val="clear" w:color="auto" w:fill="auto"/>
            <w:vAlign w:val="center"/>
          </w:tcPr>
          <w:p w:rsidR="00AD6429" w:rsidRPr="005E14CD" w:rsidRDefault="00AD6429" w:rsidP="00A44E53">
            <w:pPr>
              <w:rPr>
                <w:b/>
                <w:bCs/>
                <w:color w:val="581D74"/>
                <w:sz w:val="19"/>
                <w:szCs w:val="19"/>
              </w:rPr>
            </w:pPr>
            <w:r w:rsidRPr="005E14CD">
              <w:rPr>
                <w:b/>
                <w:bCs/>
                <w:color w:val="581D74"/>
                <w:sz w:val="19"/>
                <w:szCs w:val="19"/>
              </w:rPr>
              <w:t>Résultat net part du groupe</w:t>
            </w:r>
          </w:p>
        </w:tc>
        <w:tc>
          <w:tcPr>
            <w:tcW w:w="1836" w:type="dxa"/>
            <w:tcBorders>
              <w:top w:val="single" w:sz="8" w:space="0" w:color="581D74"/>
              <w:left w:val="single" w:sz="8" w:space="0" w:color="581D74"/>
              <w:bottom w:val="single" w:sz="8" w:space="0" w:color="581D74"/>
              <w:right w:val="single" w:sz="8" w:space="0" w:color="581D74"/>
            </w:tcBorders>
            <w:shd w:val="clear" w:color="auto" w:fill="auto"/>
            <w:vAlign w:val="center"/>
          </w:tcPr>
          <w:p w:rsidR="00AD6429" w:rsidRPr="00874F3B" w:rsidRDefault="00AD6429" w:rsidP="00A44E53">
            <w:pPr>
              <w:jc w:val="right"/>
              <w:rPr>
                <w:b/>
                <w:bCs/>
                <w:sz w:val="19"/>
                <w:szCs w:val="19"/>
              </w:rPr>
            </w:pPr>
            <w:r w:rsidRPr="00874F3B">
              <w:rPr>
                <w:b/>
                <w:bCs/>
                <w:sz w:val="19"/>
                <w:szCs w:val="19"/>
              </w:rPr>
              <w:t>2 384</w:t>
            </w:r>
          </w:p>
        </w:tc>
        <w:tc>
          <w:tcPr>
            <w:tcW w:w="1260" w:type="dxa"/>
            <w:tcBorders>
              <w:top w:val="single" w:sz="8" w:space="0" w:color="581D74"/>
              <w:left w:val="single" w:sz="8" w:space="0" w:color="581D74"/>
              <w:bottom w:val="single" w:sz="8" w:space="0" w:color="581D74"/>
              <w:right w:val="single" w:sz="8" w:space="0" w:color="581D74"/>
            </w:tcBorders>
            <w:shd w:val="clear" w:color="auto" w:fill="auto"/>
            <w:vAlign w:val="center"/>
          </w:tcPr>
          <w:p w:rsidR="00AD6429" w:rsidRPr="00874F3B" w:rsidRDefault="00AD6429" w:rsidP="00A44E53">
            <w:pPr>
              <w:jc w:val="right"/>
              <w:rPr>
                <w:b/>
                <w:bCs/>
                <w:sz w:val="19"/>
                <w:szCs w:val="19"/>
              </w:rPr>
            </w:pPr>
            <w:r w:rsidRPr="00874F3B">
              <w:rPr>
                <w:b/>
                <w:bCs/>
                <w:sz w:val="19"/>
                <w:szCs w:val="19"/>
              </w:rPr>
              <w:t>+ 5,7 %</w:t>
            </w:r>
          </w:p>
        </w:tc>
        <w:tc>
          <w:tcPr>
            <w:tcW w:w="246" w:type="dxa"/>
            <w:vMerge/>
            <w:tcBorders>
              <w:top w:val="nil"/>
              <w:left w:val="single" w:sz="8" w:space="0" w:color="581D74"/>
              <w:bottom w:val="nil"/>
              <w:right w:val="single" w:sz="8" w:space="0" w:color="581D74"/>
            </w:tcBorders>
            <w:vAlign w:val="center"/>
          </w:tcPr>
          <w:p w:rsidR="00AD6429" w:rsidRPr="00874F3B" w:rsidRDefault="00AD6429" w:rsidP="00A44E53">
            <w:pPr>
              <w:pBdr>
                <w:bottom w:val="single" w:sz="4" w:space="1" w:color="581D74"/>
              </w:pBdr>
              <w:tabs>
                <w:tab w:val="left" w:pos="426"/>
              </w:tabs>
              <w:rPr>
                <w:b/>
                <w:sz w:val="19"/>
                <w:szCs w:val="19"/>
              </w:rPr>
            </w:pPr>
          </w:p>
        </w:tc>
        <w:tc>
          <w:tcPr>
            <w:tcW w:w="1183" w:type="dxa"/>
            <w:tcBorders>
              <w:top w:val="single" w:sz="8" w:space="0" w:color="581D74"/>
              <w:left w:val="single" w:sz="8" w:space="0" w:color="581D74"/>
              <w:bottom w:val="single" w:sz="8" w:space="0" w:color="581D74"/>
              <w:right w:val="single" w:sz="8" w:space="0" w:color="581D74"/>
            </w:tcBorders>
            <w:shd w:val="clear" w:color="auto" w:fill="auto"/>
            <w:tcMar>
              <w:top w:w="57" w:type="dxa"/>
              <w:left w:w="113" w:type="dxa"/>
              <w:bottom w:w="57" w:type="dxa"/>
              <w:right w:w="113" w:type="dxa"/>
            </w:tcMar>
            <w:vAlign w:val="center"/>
          </w:tcPr>
          <w:p w:rsidR="00AD6429" w:rsidRPr="00874F3B" w:rsidRDefault="00AD6429" w:rsidP="00A44E53">
            <w:pPr>
              <w:jc w:val="right"/>
              <w:rPr>
                <w:b/>
                <w:bCs/>
                <w:sz w:val="19"/>
                <w:szCs w:val="19"/>
              </w:rPr>
            </w:pPr>
            <w:r w:rsidRPr="00874F3B">
              <w:rPr>
                <w:b/>
                <w:bCs/>
                <w:sz w:val="19"/>
                <w:szCs w:val="19"/>
              </w:rPr>
              <w:t>2 736</w:t>
            </w:r>
          </w:p>
        </w:tc>
        <w:tc>
          <w:tcPr>
            <w:tcW w:w="1311" w:type="dxa"/>
            <w:tcBorders>
              <w:top w:val="single" w:sz="8" w:space="0" w:color="581D74"/>
              <w:left w:val="single" w:sz="8" w:space="0" w:color="581D74"/>
              <w:bottom w:val="single" w:sz="8" w:space="0" w:color="581D74"/>
              <w:right w:val="single" w:sz="8" w:space="0" w:color="581D74"/>
            </w:tcBorders>
            <w:shd w:val="clear" w:color="auto" w:fill="auto"/>
            <w:tcMar>
              <w:top w:w="57" w:type="dxa"/>
              <w:left w:w="113" w:type="dxa"/>
              <w:bottom w:w="57" w:type="dxa"/>
              <w:right w:w="113" w:type="dxa"/>
            </w:tcMar>
            <w:vAlign w:val="center"/>
          </w:tcPr>
          <w:p w:rsidR="00AD6429" w:rsidRPr="00874F3B" w:rsidRDefault="00AD6429" w:rsidP="00A44E53">
            <w:pPr>
              <w:jc w:val="right"/>
              <w:rPr>
                <w:b/>
                <w:bCs/>
                <w:sz w:val="19"/>
                <w:szCs w:val="19"/>
              </w:rPr>
            </w:pPr>
            <w:r w:rsidRPr="00874F3B">
              <w:rPr>
                <w:b/>
                <w:bCs/>
                <w:sz w:val="19"/>
                <w:szCs w:val="19"/>
              </w:rPr>
              <w:t>+ 9,6 %</w:t>
            </w:r>
          </w:p>
        </w:tc>
      </w:tr>
      <w:tr w:rsidR="00AD6429" w:rsidRPr="00D61D41">
        <w:trPr>
          <w:trHeight w:val="510"/>
        </w:trPr>
        <w:tc>
          <w:tcPr>
            <w:tcW w:w="3543" w:type="dxa"/>
            <w:tcBorders>
              <w:top w:val="single" w:sz="8" w:space="0" w:color="581D74"/>
              <w:left w:val="single" w:sz="8" w:space="0" w:color="581D74"/>
              <w:bottom w:val="single" w:sz="8" w:space="0" w:color="581D74"/>
              <w:right w:val="single" w:sz="8" w:space="0" w:color="581D74"/>
            </w:tcBorders>
            <w:shd w:val="clear" w:color="auto" w:fill="auto"/>
            <w:vAlign w:val="center"/>
          </w:tcPr>
          <w:p w:rsidR="00AD6429" w:rsidRPr="005E14CD" w:rsidRDefault="00AD6429" w:rsidP="00A44E53">
            <w:pPr>
              <w:rPr>
                <w:b/>
                <w:color w:val="581D74"/>
                <w:sz w:val="19"/>
                <w:szCs w:val="19"/>
              </w:rPr>
            </w:pPr>
            <w:r w:rsidRPr="005E14CD">
              <w:rPr>
                <w:b/>
                <w:bCs/>
                <w:color w:val="581D74"/>
                <w:sz w:val="19"/>
                <w:szCs w:val="19"/>
              </w:rPr>
              <w:t>ROE</w:t>
            </w:r>
          </w:p>
        </w:tc>
        <w:tc>
          <w:tcPr>
            <w:tcW w:w="1836" w:type="dxa"/>
            <w:tcBorders>
              <w:top w:val="single" w:sz="8" w:space="0" w:color="581D74"/>
              <w:left w:val="single" w:sz="8" w:space="0" w:color="581D74"/>
              <w:bottom w:val="single" w:sz="8" w:space="0" w:color="581D74"/>
              <w:right w:val="single" w:sz="8" w:space="0" w:color="581D74"/>
            </w:tcBorders>
            <w:shd w:val="clear" w:color="auto" w:fill="auto"/>
            <w:vAlign w:val="center"/>
          </w:tcPr>
          <w:p w:rsidR="00AD6429" w:rsidRPr="00874F3B" w:rsidRDefault="00874F3B" w:rsidP="00A44E53">
            <w:pPr>
              <w:jc w:val="right"/>
              <w:rPr>
                <w:b/>
                <w:sz w:val="19"/>
                <w:szCs w:val="19"/>
              </w:rPr>
            </w:pPr>
            <w:r w:rsidRPr="00874F3B">
              <w:rPr>
                <w:b/>
                <w:bCs/>
                <w:sz w:val="19"/>
                <w:szCs w:val="19"/>
              </w:rPr>
              <w:t>6,1</w:t>
            </w:r>
            <w:r w:rsidR="00AD6429" w:rsidRPr="00874F3B">
              <w:rPr>
                <w:b/>
                <w:bCs/>
                <w:sz w:val="19"/>
                <w:szCs w:val="19"/>
              </w:rPr>
              <w:t xml:space="preserve"> %</w:t>
            </w:r>
          </w:p>
        </w:tc>
        <w:tc>
          <w:tcPr>
            <w:tcW w:w="1260" w:type="dxa"/>
            <w:tcBorders>
              <w:top w:val="single" w:sz="8" w:space="0" w:color="581D74"/>
              <w:left w:val="single" w:sz="8" w:space="0" w:color="581D74"/>
              <w:bottom w:val="single" w:sz="8" w:space="0" w:color="581D74"/>
              <w:right w:val="single" w:sz="8" w:space="0" w:color="581D74"/>
            </w:tcBorders>
            <w:shd w:val="clear" w:color="auto" w:fill="auto"/>
            <w:vAlign w:val="center"/>
          </w:tcPr>
          <w:p w:rsidR="00AD6429" w:rsidRPr="00874F3B" w:rsidRDefault="00874F3B" w:rsidP="00A44E53">
            <w:pPr>
              <w:jc w:val="right"/>
              <w:rPr>
                <w:b/>
                <w:sz w:val="19"/>
                <w:szCs w:val="19"/>
              </w:rPr>
            </w:pPr>
            <w:r w:rsidRPr="00874F3B">
              <w:rPr>
                <w:b/>
                <w:bCs/>
                <w:sz w:val="19"/>
                <w:szCs w:val="19"/>
              </w:rPr>
              <w:t>- 0,1</w:t>
            </w:r>
            <w:r w:rsidR="00AD6429" w:rsidRPr="00874F3B">
              <w:rPr>
                <w:b/>
                <w:bCs/>
                <w:sz w:val="19"/>
                <w:szCs w:val="19"/>
              </w:rPr>
              <w:t xml:space="preserve"> pt</w:t>
            </w:r>
          </w:p>
        </w:tc>
        <w:tc>
          <w:tcPr>
            <w:tcW w:w="246" w:type="dxa"/>
            <w:vMerge/>
            <w:tcBorders>
              <w:top w:val="nil"/>
              <w:left w:val="single" w:sz="8" w:space="0" w:color="581D74"/>
              <w:bottom w:val="nil"/>
              <w:right w:val="single" w:sz="8" w:space="0" w:color="581D74"/>
            </w:tcBorders>
            <w:vAlign w:val="center"/>
          </w:tcPr>
          <w:p w:rsidR="00AD6429" w:rsidRPr="00874F3B" w:rsidRDefault="00AD6429" w:rsidP="00A44E53">
            <w:pPr>
              <w:pBdr>
                <w:bottom w:val="single" w:sz="4" w:space="1" w:color="581D74"/>
              </w:pBdr>
              <w:tabs>
                <w:tab w:val="left" w:pos="426"/>
              </w:tabs>
              <w:rPr>
                <w:b/>
                <w:sz w:val="19"/>
                <w:szCs w:val="19"/>
              </w:rPr>
            </w:pPr>
          </w:p>
        </w:tc>
        <w:tc>
          <w:tcPr>
            <w:tcW w:w="1183" w:type="dxa"/>
            <w:tcBorders>
              <w:top w:val="single" w:sz="8" w:space="0" w:color="581D74"/>
              <w:left w:val="single" w:sz="8" w:space="0" w:color="581D74"/>
              <w:bottom w:val="single" w:sz="8" w:space="0" w:color="581D74"/>
              <w:right w:val="single" w:sz="8" w:space="0" w:color="581D74"/>
            </w:tcBorders>
            <w:shd w:val="clear" w:color="auto" w:fill="auto"/>
            <w:tcMar>
              <w:top w:w="57" w:type="dxa"/>
              <w:left w:w="113" w:type="dxa"/>
              <w:bottom w:w="57" w:type="dxa"/>
              <w:right w:w="113" w:type="dxa"/>
            </w:tcMar>
            <w:vAlign w:val="center"/>
          </w:tcPr>
          <w:p w:rsidR="00AD6429" w:rsidRPr="00874F3B" w:rsidRDefault="00874F3B" w:rsidP="00A44E53">
            <w:pPr>
              <w:jc w:val="right"/>
              <w:rPr>
                <w:b/>
                <w:sz w:val="19"/>
                <w:szCs w:val="19"/>
              </w:rPr>
            </w:pPr>
            <w:r w:rsidRPr="00874F3B">
              <w:rPr>
                <w:b/>
                <w:bCs/>
                <w:sz w:val="19"/>
                <w:szCs w:val="19"/>
              </w:rPr>
              <w:t>10</w:t>
            </w:r>
            <w:r w:rsidR="00AD6429" w:rsidRPr="00874F3B">
              <w:rPr>
                <w:b/>
                <w:bCs/>
                <w:sz w:val="19"/>
                <w:szCs w:val="19"/>
              </w:rPr>
              <w:t xml:space="preserve"> %</w:t>
            </w:r>
          </w:p>
        </w:tc>
        <w:tc>
          <w:tcPr>
            <w:tcW w:w="1311" w:type="dxa"/>
            <w:tcBorders>
              <w:top w:val="single" w:sz="8" w:space="0" w:color="581D74"/>
              <w:left w:val="single" w:sz="8" w:space="0" w:color="581D74"/>
              <w:bottom w:val="single" w:sz="8" w:space="0" w:color="581D74"/>
              <w:right w:val="single" w:sz="8" w:space="0" w:color="581D74"/>
            </w:tcBorders>
            <w:shd w:val="clear" w:color="auto" w:fill="auto"/>
            <w:tcMar>
              <w:top w:w="57" w:type="dxa"/>
              <w:left w:w="113" w:type="dxa"/>
              <w:bottom w:w="57" w:type="dxa"/>
              <w:right w:w="113" w:type="dxa"/>
            </w:tcMar>
            <w:vAlign w:val="center"/>
          </w:tcPr>
          <w:p w:rsidR="00AD6429" w:rsidRPr="00874F3B" w:rsidRDefault="00AD6429" w:rsidP="00A44E53">
            <w:pPr>
              <w:jc w:val="right"/>
              <w:rPr>
                <w:b/>
                <w:sz w:val="19"/>
                <w:szCs w:val="19"/>
              </w:rPr>
            </w:pPr>
          </w:p>
        </w:tc>
      </w:tr>
    </w:tbl>
    <w:p w:rsidR="00AD6429" w:rsidRDefault="00AD6429" w:rsidP="00AD6429">
      <w:pPr>
        <w:tabs>
          <w:tab w:val="left" w:pos="426"/>
        </w:tabs>
        <w:rPr>
          <w:color w:val="581D74"/>
          <w:sz w:val="14"/>
          <w:szCs w:val="14"/>
        </w:rPr>
      </w:pPr>
    </w:p>
    <w:p w:rsidR="00AD6429" w:rsidRPr="0095321C" w:rsidRDefault="00AD6429" w:rsidP="00D8707E">
      <w:pPr>
        <w:tabs>
          <w:tab w:val="left" w:pos="364"/>
        </w:tabs>
        <w:ind w:left="360" w:hanging="360"/>
        <w:rPr>
          <w:sz w:val="14"/>
          <w:szCs w:val="14"/>
        </w:rPr>
      </w:pPr>
      <w:r w:rsidRPr="0095321C">
        <w:rPr>
          <w:sz w:val="14"/>
          <w:szCs w:val="14"/>
        </w:rPr>
        <w:t>*</w:t>
      </w:r>
      <w:r w:rsidR="00D8707E">
        <w:rPr>
          <w:sz w:val="14"/>
          <w:szCs w:val="14"/>
        </w:rPr>
        <w:tab/>
      </w:r>
      <w:r w:rsidRPr="0095321C">
        <w:rPr>
          <w:sz w:val="14"/>
          <w:szCs w:val="14"/>
        </w:rPr>
        <w:t>Les métiers cœurs sont la Banque commerciale et Assurance (avec notamment les réseaux Banque Populaire et Caisse d’Epargne ainsi que le Crédit Foncier, la Banque Palatine et BPCE International et Outre-mer) et la Banque de Grande Clientèle, l’Épargne et les Services F</w:t>
      </w:r>
      <w:r w:rsidR="00D8707E">
        <w:rPr>
          <w:sz w:val="14"/>
          <w:szCs w:val="14"/>
        </w:rPr>
        <w:t>inanciers Spécialisés (Natixis).</w:t>
      </w:r>
    </w:p>
    <w:p w:rsidR="00AD6429" w:rsidRPr="0095321C" w:rsidRDefault="00AD6429" w:rsidP="00D8707E">
      <w:pPr>
        <w:tabs>
          <w:tab w:val="left" w:pos="364"/>
        </w:tabs>
        <w:rPr>
          <w:sz w:val="14"/>
          <w:szCs w:val="14"/>
        </w:rPr>
      </w:pPr>
      <w:r w:rsidRPr="0095321C">
        <w:rPr>
          <w:sz w:val="14"/>
          <w:szCs w:val="14"/>
        </w:rPr>
        <w:t xml:space="preserve">** </w:t>
      </w:r>
      <w:r w:rsidR="00D8707E">
        <w:rPr>
          <w:sz w:val="14"/>
          <w:szCs w:val="14"/>
        </w:rPr>
        <w:tab/>
      </w:r>
      <w:r w:rsidRPr="0095321C">
        <w:rPr>
          <w:sz w:val="14"/>
          <w:szCs w:val="14"/>
        </w:rPr>
        <w:t>Hors réévaluation de la dette propre pour les résultats du groupe</w:t>
      </w:r>
      <w:r w:rsidR="00D8707E">
        <w:rPr>
          <w:sz w:val="14"/>
          <w:szCs w:val="14"/>
        </w:rPr>
        <w:t>.</w:t>
      </w:r>
    </w:p>
    <w:p w:rsidR="00AD6429" w:rsidRPr="00874F3B" w:rsidRDefault="00AD6429" w:rsidP="00D8707E">
      <w:pPr>
        <w:pStyle w:val="Notedebasdepage"/>
        <w:tabs>
          <w:tab w:val="left" w:pos="364"/>
        </w:tabs>
        <w:spacing w:line="240" w:lineRule="auto"/>
        <w:jc w:val="both"/>
        <w:rPr>
          <w:sz w:val="14"/>
          <w:szCs w:val="14"/>
        </w:rPr>
      </w:pPr>
      <w:r w:rsidRPr="00874F3B">
        <w:rPr>
          <w:sz w:val="14"/>
          <w:szCs w:val="14"/>
        </w:rPr>
        <w:t xml:space="preserve">*** Pro forma du rachat (suivi de leur annulation) par les Banques Populaires et les Caisses d’Epargne des certificats coopératifs </w:t>
      </w:r>
      <w:r w:rsidR="00D8707E">
        <w:rPr>
          <w:sz w:val="14"/>
          <w:szCs w:val="14"/>
        </w:rPr>
        <w:tab/>
      </w:r>
      <w:r w:rsidRPr="00874F3B">
        <w:rPr>
          <w:sz w:val="14"/>
          <w:szCs w:val="14"/>
        </w:rPr>
        <w:t>d’investissement (CCI) détenus par Natixis</w:t>
      </w:r>
      <w:r w:rsidR="00D8707E">
        <w:rPr>
          <w:sz w:val="14"/>
          <w:szCs w:val="14"/>
        </w:rPr>
        <w:t>.</w:t>
      </w:r>
    </w:p>
    <w:p w:rsidR="005837B5" w:rsidRDefault="0015263F" w:rsidP="00D8707E">
      <w:pPr>
        <w:tabs>
          <w:tab w:val="left" w:pos="364"/>
        </w:tabs>
        <w:spacing w:after="200" w:line="276" w:lineRule="auto"/>
        <w:rPr>
          <w:rFonts w:eastAsia="Times New Roman" w:cs="Times New Roman"/>
          <w:smallCaps/>
          <w:color w:val="581D74"/>
          <w:sz w:val="16"/>
          <w:szCs w:val="16"/>
        </w:rPr>
      </w:pPr>
      <w:r w:rsidRPr="00FD1221">
        <w:rPr>
          <w:rFonts w:eastAsia="Times New Roman" w:cs="Times New Roman"/>
          <w:smallCaps/>
          <w:color w:val="581D74"/>
          <w:sz w:val="16"/>
          <w:szCs w:val="16"/>
        </w:rPr>
        <w:br w:type="page"/>
      </w:r>
    </w:p>
    <w:p w:rsidR="005837B5" w:rsidRPr="002E6DDC" w:rsidRDefault="005837B5" w:rsidP="00F13DD9">
      <w:pPr>
        <w:pBdr>
          <w:bottom w:val="single" w:sz="4" w:space="1" w:color="F47920" w:themeColor="accent3"/>
        </w:pBdr>
        <w:tabs>
          <w:tab w:val="left" w:pos="426"/>
        </w:tabs>
        <w:spacing w:line="240" w:lineRule="atLeast"/>
        <w:ind w:left="420" w:hanging="420"/>
        <w:rPr>
          <w:rFonts w:eastAsia="Times New Roman" w:cs="Verdana,Bold"/>
          <w:b/>
          <w:bCs/>
          <w:spacing w:val="-4"/>
          <w:sz w:val="20"/>
          <w:szCs w:val="20"/>
        </w:rPr>
      </w:pPr>
      <w:r w:rsidRPr="002E6DDC">
        <w:rPr>
          <w:rFonts w:eastAsia="Times New Roman" w:cs="Verdana,Bold"/>
          <w:b/>
          <w:bCs/>
          <w:color w:val="E36C0A"/>
          <w:spacing w:val="-4"/>
        </w:rPr>
        <w:lastRenderedPageBreak/>
        <w:t>3.</w:t>
      </w:r>
      <w:r w:rsidRPr="002E6DDC">
        <w:rPr>
          <w:rFonts w:eastAsia="Times New Roman" w:cs="Verdana,Bold"/>
          <w:b/>
          <w:bCs/>
          <w:color w:val="FF9A00"/>
          <w:spacing w:val="-4"/>
          <w:sz w:val="20"/>
          <w:szCs w:val="20"/>
        </w:rPr>
        <w:t xml:space="preserve"> </w:t>
      </w:r>
      <w:r w:rsidRPr="002E6DDC">
        <w:rPr>
          <w:rFonts w:eastAsia="Times New Roman" w:cs="Verdana,Bold"/>
          <w:b/>
          <w:bCs/>
          <w:color w:val="FF9A00"/>
          <w:spacing w:val="-4"/>
          <w:sz w:val="20"/>
          <w:szCs w:val="20"/>
        </w:rPr>
        <w:tab/>
      </w:r>
      <w:r w:rsidRPr="002E6DDC">
        <w:rPr>
          <w:rFonts w:eastAsia="Times New Roman" w:cs="Times New Roman"/>
          <w:b/>
          <w:color w:val="581D74"/>
          <w:spacing w:val="-4"/>
        </w:rPr>
        <w:t>RÉSULTATS</w:t>
      </w:r>
      <w:bookmarkStart w:id="10" w:name="_Ref386878191"/>
      <w:r w:rsidRPr="002E6DDC">
        <w:rPr>
          <w:rFonts w:eastAsia="Times New Roman" w:cs="Verdana,Italic"/>
          <w:b/>
          <w:iCs/>
          <w:color w:val="581D74" w:themeColor="accent1"/>
          <w:spacing w:val="-4"/>
          <w:sz w:val="20"/>
          <w:szCs w:val="20"/>
          <w:vertAlign w:val="superscript"/>
        </w:rPr>
        <w:footnoteReference w:id="15"/>
      </w:r>
      <w:bookmarkEnd w:id="10"/>
      <w:r w:rsidRPr="002E6DDC">
        <w:rPr>
          <w:rFonts w:eastAsia="Times New Roman" w:cs="Times New Roman"/>
          <w:b/>
          <w:color w:val="581D74" w:themeColor="accent1"/>
          <w:spacing w:val="-4"/>
        </w:rPr>
        <w:t xml:space="preserve"> </w:t>
      </w:r>
      <w:r w:rsidRPr="002E6DDC">
        <w:rPr>
          <w:rFonts w:eastAsia="Times New Roman" w:cs="Times New Roman"/>
          <w:b/>
          <w:color w:val="581D74"/>
          <w:spacing w:val="-4"/>
        </w:rPr>
        <w:t>DES M</w:t>
      </w:r>
      <w:r w:rsidRPr="002E6DDC">
        <w:rPr>
          <w:rFonts w:eastAsia="Times New Roman" w:cs="Times New Roman"/>
          <w:b/>
          <w:caps/>
          <w:color w:val="581D74"/>
          <w:spacing w:val="-4"/>
        </w:rPr>
        <w:t>É</w:t>
      </w:r>
      <w:r w:rsidRPr="002E6DDC">
        <w:rPr>
          <w:rFonts w:eastAsia="Times New Roman" w:cs="Times New Roman"/>
          <w:b/>
          <w:color w:val="581D74"/>
          <w:spacing w:val="-4"/>
        </w:rPr>
        <w:t>TIERS </w:t>
      </w:r>
      <w:r w:rsidRPr="002E6DDC">
        <w:rPr>
          <w:rFonts w:eastAsia="Times New Roman" w:cs="Times New Roman"/>
          <w:b/>
          <w:caps/>
          <w:color w:val="581D74"/>
          <w:spacing w:val="-4"/>
        </w:rPr>
        <w:t xml:space="preserve">: </w:t>
      </w:r>
      <w:r w:rsidR="00A44E53" w:rsidRPr="002E6DDC">
        <w:rPr>
          <w:rFonts w:eastAsia="Times New Roman" w:cs="Times New Roman"/>
          <w:b/>
          <w:caps/>
          <w:color w:val="581D74"/>
          <w:spacing w:val="-4"/>
        </w:rPr>
        <w:t>Une activit</w:t>
      </w:r>
      <w:r w:rsidR="0087198F" w:rsidRPr="002E6DDC">
        <w:rPr>
          <w:rFonts w:eastAsia="Times New Roman" w:cs="Times New Roman"/>
          <w:b/>
          <w:caps/>
          <w:color w:val="581D74"/>
          <w:spacing w:val="-4"/>
        </w:rPr>
        <w:t>É</w:t>
      </w:r>
      <w:r w:rsidR="00A44E53" w:rsidRPr="002E6DDC">
        <w:rPr>
          <w:rFonts w:eastAsia="Times New Roman" w:cs="Times New Roman"/>
          <w:b/>
          <w:caps/>
          <w:color w:val="581D74"/>
          <w:spacing w:val="-4"/>
        </w:rPr>
        <w:t xml:space="preserve"> commerciale bien orient</w:t>
      </w:r>
      <w:r w:rsidR="0087198F" w:rsidRPr="002E6DDC">
        <w:rPr>
          <w:rFonts w:eastAsia="Times New Roman" w:cs="Times New Roman"/>
          <w:b/>
          <w:caps/>
          <w:color w:val="581D74"/>
          <w:spacing w:val="-4"/>
        </w:rPr>
        <w:t>É</w:t>
      </w:r>
      <w:r w:rsidR="00A44E53" w:rsidRPr="002E6DDC">
        <w:rPr>
          <w:rFonts w:eastAsia="Times New Roman" w:cs="Times New Roman"/>
          <w:b/>
          <w:caps/>
          <w:color w:val="581D74"/>
          <w:spacing w:val="-4"/>
        </w:rPr>
        <w:t>e</w:t>
      </w:r>
    </w:p>
    <w:p w:rsidR="005837B5" w:rsidRPr="00EE1174" w:rsidRDefault="005837B5" w:rsidP="005837B5">
      <w:pPr>
        <w:tabs>
          <w:tab w:val="left" w:pos="426"/>
        </w:tabs>
        <w:spacing w:line="240" w:lineRule="atLeast"/>
        <w:rPr>
          <w:rFonts w:eastAsia="Times New Roman" w:cs="Times New Roman"/>
          <w:sz w:val="16"/>
          <w:szCs w:val="16"/>
        </w:rPr>
      </w:pPr>
    </w:p>
    <w:p w:rsidR="005837B5" w:rsidRPr="0094146E" w:rsidRDefault="005837B5" w:rsidP="005837B5">
      <w:pPr>
        <w:autoSpaceDE w:val="0"/>
        <w:autoSpaceDN w:val="0"/>
        <w:adjustRightInd w:val="0"/>
        <w:rPr>
          <w:rFonts w:eastAsia="Times New Roman" w:cs="Verdana,Bold"/>
          <w:b/>
          <w:bCs/>
          <w:color w:val="581D74"/>
          <w:sz w:val="20"/>
          <w:szCs w:val="20"/>
        </w:rPr>
      </w:pPr>
      <w:r w:rsidRPr="0094146E">
        <w:rPr>
          <w:rFonts w:eastAsia="Times New Roman" w:cs="Verdana,Bold"/>
          <w:b/>
          <w:bCs/>
          <w:color w:val="F47920" w:themeColor="accent3"/>
          <w:sz w:val="20"/>
          <w:szCs w:val="20"/>
        </w:rPr>
        <w:t xml:space="preserve">3.1 </w:t>
      </w:r>
      <w:r w:rsidRPr="0094146E">
        <w:rPr>
          <w:rFonts w:eastAsia="Times New Roman" w:cs="Verdana,Bold"/>
          <w:b/>
          <w:bCs/>
          <w:color w:val="581D74"/>
          <w:sz w:val="20"/>
          <w:szCs w:val="20"/>
        </w:rPr>
        <w:t>Ba</w:t>
      </w:r>
      <w:r w:rsidR="003E3BA4">
        <w:rPr>
          <w:rFonts w:eastAsia="Times New Roman" w:cs="Verdana,Bold"/>
          <w:b/>
          <w:bCs/>
          <w:color w:val="581D74"/>
          <w:sz w:val="20"/>
          <w:szCs w:val="20"/>
        </w:rPr>
        <w:t xml:space="preserve">nque commerciale et </w:t>
      </w:r>
      <w:r w:rsidR="003E3BA4" w:rsidRPr="003F0E89">
        <w:rPr>
          <w:rFonts w:eastAsia="Times New Roman" w:cs="Verdana,Bold"/>
          <w:b/>
          <w:bCs/>
          <w:color w:val="581D74"/>
          <w:sz w:val="20"/>
          <w:szCs w:val="20"/>
        </w:rPr>
        <w:t>Assurance</w:t>
      </w:r>
      <w:r w:rsidR="003254CE" w:rsidRPr="003F0E89">
        <w:rPr>
          <w:rFonts w:eastAsia="Times New Roman" w:cs="Verdana,Bold"/>
          <w:b/>
          <w:bCs/>
          <w:color w:val="581D74"/>
          <w:sz w:val="20"/>
          <w:szCs w:val="20"/>
        </w:rPr>
        <w:t> : bonnes</w:t>
      </w:r>
      <w:r w:rsidR="00152A44">
        <w:rPr>
          <w:rFonts w:eastAsia="Times New Roman" w:cs="Verdana,Bold"/>
          <w:b/>
          <w:bCs/>
          <w:color w:val="581D74"/>
          <w:sz w:val="20"/>
          <w:szCs w:val="20"/>
        </w:rPr>
        <w:t xml:space="preserve"> performances commerciales</w:t>
      </w:r>
    </w:p>
    <w:p w:rsidR="005837B5" w:rsidRPr="00EE1174" w:rsidRDefault="005837B5" w:rsidP="005837B5">
      <w:pPr>
        <w:autoSpaceDE w:val="0"/>
        <w:autoSpaceDN w:val="0"/>
        <w:adjustRightInd w:val="0"/>
        <w:rPr>
          <w:rFonts w:eastAsia="Times New Roman" w:cs="Verdana,Bold"/>
          <w:b/>
          <w:bCs/>
          <w:smallCaps/>
          <w:color w:val="581D74"/>
          <w:sz w:val="20"/>
          <w:szCs w:val="20"/>
        </w:rPr>
      </w:pPr>
    </w:p>
    <w:p w:rsidR="005837B5" w:rsidRPr="00435144" w:rsidRDefault="005837B5" w:rsidP="00C97A47">
      <w:pPr>
        <w:rPr>
          <w:rFonts w:eastAsia="Times New Roman" w:cs="Verdana,Italic"/>
          <w:i/>
          <w:iCs/>
          <w:color w:val="825D69" w:themeColor="text2"/>
          <w:sz w:val="18"/>
          <w:szCs w:val="18"/>
        </w:rPr>
      </w:pPr>
      <w:r w:rsidRPr="00435144">
        <w:rPr>
          <w:rFonts w:eastAsia="Times New Roman" w:cs="Verdana,Italic"/>
          <w:i/>
          <w:iCs/>
          <w:color w:val="825D69" w:themeColor="text2"/>
          <w:sz w:val="18"/>
          <w:szCs w:val="18"/>
        </w:rPr>
        <w:t xml:space="preserve">Le métier Banque commerciale et Assurance regroupe les activités du réseau Banque Populaire, du réseau Caisse d’Epargne, </w:t>
      </w:r>
      <w:r w:rsidR="001F21F3" w:rsidRPr="00435144">
        <w:rPr>
          <w:rFonts w:eastAsia="Times New Roman" w:cs="Verdana,Italic"/>
          <w:i/>
          <w:iCs/>
          <w:color w:val="825D69" w:themeColor="text2"/>
          <w:sz w:val="18"/>
          <w:szCs w:val="18"/>
        </w:rPr>
        <w:t>de l’Assurance et des A</w:t>
      </w:r>
      <w:r w:rsidRPr="00435144">
        <w:rPr>
          <w:rFonts w:eastAsia="Times New Roman" w:cs="Verdana,Italic"/>
          <w:i/>
          <w:iCs/>
          <w:color w:val="825D69" w:themeColor="text2"/>
          <w:sz w:val="18"/>
          <w:szCs w:val="18"/>
        </w:rPr>
        <w:t xml:space="preserve">utres réseaux comprenant BPCE IOM, Banque Palatine et Financement </w:t>
      </w:r>
      <w:r w:rsidR="00DF2F33" w:rsidRPr="00435144">
        <w:rPr>
          <w:rFonts w:eastAsia="Times New Roman" w:cs="Verdana,Italic"/>
          <w:i/>
          <w:iCs/>
          <w:color w:val="825D69" w:themeColor="text2"/>
          <w:sz w:val="18"/>
          <w:szCs w:val="18"/>
        </w:rPr>
        <w:t>de l’I</w:t>
      </w:r>
      <w:r w:rsidRPr="00435144">
        <w:rPr>
          <w:rFonts w:eastAsia="Times New Roman" w:cs="Verdana,Italic"/>
          <w:i/>
          <w:iCs/>
          <w:color w:val="825D69" w:themeColor="text2"/>
          <w:sz w:val="18"/>
          <w:szCs w:val="18"/>
        </w:rPr>
        <w:t>mmobilier</w:t>
      </w:r>
      <w:r w:rsidR="0054366B" w:rsidRPr="00435144">
        <w:rPr>
          <w:rFonts w:eastAsia="Times New Roman" w:cs="Verdana,Italic"/>
          <w:i/>
          <w:iCs/>
          <w:color w:val="825D69" w:themeColor="text2"/>
          <w:sz w:val="18"/>
          <w:szCs w:val="18"/>
        </w:rPr>
        <w:t>.</w:t>
      </w:r>
    </w:p>
    <w:p w:rsidR="001C6114" w:rsidRPr="00CE0214" w:rsidRDefault="001C6114" w:rsidP="001C6114">
      <w:pPr>
        <w:autoSpaceDE w:val="0"/>
        <w:autoSpaceDN w:val="0"/>
        <w:adjustRightInd w:val="0"/>
        <w:spacing w:before="120"/>
        <w:rPr>
          <w:rFonts w:eastAsia="Times New Roman" w:cs="Verdana,Italic"/>
          <w:iCs/>
          <w:sz w:val="20"/>
          <w:szCs w:val="20"/>
        </w:rPr>
      </w:pPr>
      <w:r w:rsidRPr="00CE0214">
        <w:rPr>
          <w:rFonts w:eastAsia="Times New Roman" w:cs="Verdana,Italic"/>
          <w:iCs/>
          <w:sz w:val="20"/>
          <w:szCs w:val="20"/>
        </w:rPr>
        <w:t>Les Banques Populaires et les Caisses d’Epargne conservent</w:t>
      </w:r>
      <w:r w:rsidRPr="00220F9D">
        <w:rPr>
          <w:rFonts w:eastAsia="Times New Roman" w:cs="Verdana,Italic"/>
          <w:iCs/>
          <w:sz w:val="20"/>
          <w:szCs w:val="20"/>
        </w:rPr>
        <w:t xml:space="preserve"> </w:t>
      </w:r>
      <w:r w:rsidRPr="00CE0214">
        <w:rPr>
          <w:rFonts w:eastAsia="Times New Roman" w:cs="Verdana,Italic"/>
          <w:iCs/>
          <w:sz w:val="20"/>
          <w:szCs w:val="20"/>
        </w:rPr>
        <w:t>des performances commerciales solides sur les neuf premiers mois de l’année 2014</w:t>
      </w:r>
      <w:r>
        <w:rPr>
          <w:rFonts w:eastAsia="Times New Roman" w:cs="Verdana,Italic"/>
          <w:iCs/>
          <w:sz w:val="20"/>
          <w:szCs w:val="20"/>
        </w:rPr>
        <w:t>, avec des encours d’épargne de bilan</w:t>
      </w:r>
      <w:r>
        <w:rPr>
          <w:rStyle w:val="Appelnotedebasdep"/>
          <w:rFonts w:eastAsia="Times New Roman" w:cs="Verdana,Italic"/>
          <w:iCs/>
          <w:sz w:val="20"/>
          <w:szCs w:val="20"/>
        </w:rPr>
        <w:footnoteReference w:id="16"/>
      </w:r>
      <w:r>
        <w:rPr>
          <w:rFonts w:eastAsia="Times New Roman" w:cs="Verdana,Italic"/>
          <w:iCs/>
          <w:sz w:val="20"/>
          <w:szCs w:val="20"/>
        </w:rPr>
        <w:t xml:space="preserve"> (+ 5,3 %) et de crédits (+ 3,7 %) en croissance significative et </w:t>
      </w:r>
      <w:r w:rsidRPr="002B4080">
        <w:rPr>
          <w:rFonts w:eastAsia="Times New Roman" w:cs="Verdana,Italic"/>
          <w:iCs/>
          <w:sz w:val="20"/>
          <w:szCs w:val="20"/>
        </w:rPr>
        <w:t xml:space="preserve">un </w:t>
      </w:r>
      <w:r w:rsidRPr="00244CAB">
        <w:rPr>
          <w:rFonts w:eastAsia="Times New Roman" w:cs="Verdana,Italic"/>
          <w:iCs/>
          <w:sz w:val="20"/>
          <w:szCs w:val="20"/>
        </w:rPr>
        <w:t xml:space="preserve">fort développement de l’activité assurance </w:t>
      </w:r>
      <w:r w:rsidRPr="00BD41A6">
        <w:rPr>
          <w:rFonts w:eastAsia="Times New Roman" w:cs="Verdana,Italic"/>
          <w:iCs/>
          <w:sz w:val="20"/>
          <w:szCs w:val="20"/>
        </w:rPr>
        <w:t>sur toutes ses composantes (vie, dommages, santé, prévoyance)</w:t>
      </w:r>
      <w:r w:rsidRPr="00CE0214">
        <w:rPr>
          <w:rFonts w:eastAsia="Times New Roman" w:cs="Verdana,Italic"/>
          <w:iCs/>
          <w:sz w:val="20"/>
          <w:szCs w:val="20"/>
        </w:rPr>
        <w:t>.</w:t>
      </w:r>
    </w:p>
    <w:p w:rsidR="001C6114" w:rsidRPr="00CE0214" w:rsidRDefault="001C6114" w:rsidP="001C6114">
      <w:pPr>
        <w:spacing w:before="120"/>
        <w:rPr>
          <w:rFonts w:eastAsia="Times New Roman" w:cs="Verdana,Italic"/>
          <w:iCs/>
          <w:color w:val="000000"/>
          <w:sz w:val="20"/>
          <w:szCs w:val="20"/>
        </w:rPr>
      </w:pPr>
      <w:r w:rsidRPr="00CE0214">
        <w:rPr>
          <w:rFonts w:eastAsia="Times New Roman" w:cs="Verdana,Italic"/>
          <w:iCs/>
          <w:color w:val="000000"/>
          <w:sz w:val="20"/>
          <w:szCs w:val="20"/>
        </w:rPr>
        <w:t xml:space="preserve">Les </w:t>
      </w:r>
      <w:r>
        <w:rPr>
          <w:rFonts w:eastAsia="Times New Roman" w:cs="Verdana,Italic"/>
          <w:iCs/>
          <w:color w:val="000000"/>
          <w:sz w:val="20"/>
          <w:szCs w:val="20"/>
        </w:rPr>
        <w:t xml:space="preserve">deux réseaux </w:t>
      </w:r>
      <w:r w:rsidRPr="00CE0214">
        <w:rPr>
          <w:rFonts w:eastAsia="Times New Roman" w:cs="Verdana,Italic"/>
          <w:iCs/>
          <w:color w:val="000000"/>
          <w:sz w:val="20"/>
          <w:szCs w:val="20"/>
        </w:rPr>
        <w:t>confirment leur engagement dans le financement de l’économie et des territoires</w:t>
      </w:r>
      <w:r>
        <w:rPr>
          <w:rFonts w:eastAsia="Times New Roman" w:cs="Verdana,Italic"/>
          <w:iCs/>
          <w:color w:val="000000"/>
          <w:sz w:val="20"/>
          <w:szCs w:val="20"/>
        </w:rPr>
        <w:t xml:space="preserve">. </w:t>
      </w:r>
      <w:r w:rsidRPr="00CE0214">
        <w:rPr>
          <w:rFonts w:eastAsia="Times New Roman" w:cs="Verdana,Italic"/>
          <w:iCs/>
          <w:sz w:val="20"/>
          <w:szCs w:val="20"/>
        </w:rPr>
        <w:t>Les Banques Populaires ont accordé</w:t>
      </w:r>
      <w:r w:rsidR="00027C41">
        <w:rPr>
          <w:rFonts w:eastAsia="Times New Roman" w:cs="Verdana,Italic"/>
          <w:iCs/>
          <w:sz w:val="20"/>
          <w:szCs w:val="20"/>
        </w:rPr>
        <w:t>,</w:t>
      </w:r>
      <w:r w:rsidRPr="00CE0214">
        <w:rPr>
          <w:rFonts w:eastAsia="Times New Roman" w:cs="Verdana,Italic"/>
          <w:iCs/>
          <w:sz w:val="20"/>
          <w:szCs w:val="20"/>
        </w:rPr>
        <w:t xml:space="preserve"> </w:t>
      </w:r>
      <w:r>
        <w:rPr>
          <w:rFonts w:eastAsia="Times New Roman" w:cs="Verdana,Italic"/>
          <w:iCs/>
          <w:sz w:val="20"/>
          <w:szCs w:val="20"/>
        </w:rPr>
        <w:t>sur un an glissant</w:t>
      </w:r>
      <w:r w:rsidR="00027C41">
        <w:rPr>
          <w:rFonts w:eastAsia="Times New Roman" w:cs="Verdana,Italic"/>
          <w:iCs/>
          <w:sz w:val="20"/>
          <w:szCs w:val="20"/>
        </w:rPr>
        <w:t>,</w:t>
      </w:r>
      <w:r>
        <w:rPr>
          <w:rFonts w:eastAsia="Times New Roman" w:cs="Verdana,Italic"/>
          <w:iCs/>
          <w:sz w:val="20"/>
          <w:szCs w:val="20"/>
        </w:rPr>
        <w:t xml:space="preserve"> </w:t>
      </w:r>
      <w:r w:rsidR="0087198F">
        <w:rPr>
          <w:rFonts w:eastAsia="Times New Roman" w:cs="Verdana,Italic"/>
          <w:iCs/>
          <w:sz w:val="20"/>
          <w:szCs w:val="20"/>
        </w:rPr>
        <w:t>près de 9 </w:t>
      </w:r>
      <w:r w:rsidRPr="00CE0214">
        <w:rPr>
          <w:rFonts w:eastAsia="Times New Roman" w:cs="Verdana,Italic"/>
          <w:iCs/>
          <w:sz w:val="20"/>
          <w:szCs w:val="20"/>
        </w:rPr>
        <w:t>milliards d’euros de crédits d’investissement aux entreprises</w:t>
      </w:r>
      <w:r>
        <w:rPr>
          <w:rFonts w:eastAsia="Times New Roman" w:cs="Verdana,Italic"/>
          <w:iCs/>
          <w:sz w:val="20"/>
          <w:szCs w:val="20"/>
        </w:rPr>
        <w:t xml:space="preserve"> (PME et TPE) et</w:t>
      </w:r>
      <w:r w:rsidR="0087198F">
        <w:rPr>
          <w:rFonts w:eastAsia="Times New Roman" w:cs="Verdana,Italic"/>
          <w:iCs/>
          <w:sz w:val="20"/>
          <w:szCs w:val="20"/>
        </w:rPr>
        <w:t xml:space="preserve"> 900 </w:t>
      </w:r>
      <w:r w:rsidRPr="00CE0214">
        <w:rPr>
          <w:rFonts w:eastAsia="Times New Roman" w:cs="Verdana,Italic"/>
          <w:iCs/>
          <w:sz w:val="20"/>
          <w:szCs w:val="20"/>
        </w:rPr>
        <w:t xml:space="preserve">millions d’euros aux TPE </w:t>
      </w:r>
      <w:r>
        <w:rPr>
          <w:rFonts w:eastAsia="Times New Roman" w:cs="Verdana,Italic"/>
          <w:iCs/>
          <w:sz w:val="20"/>
          <w:szCs w:val="20"/>
        </w:rPr>
        <w:t xml:space="preserve">avec </w:t>
      </w:r>
      <w:r w:rsidRPr="00CE0214">
        <w:rPr>
          <w:rFonts w:eastAsia="Times New Roman" w:cs="Verdana,Italic"/>
          <w:iCs/>
          <w:sz w:val="20"/>
          <w:szCs w:val="20"/>
        </w:rPr>
        <w:t xml:space="preserve">la </w:t>
      </w:r>
      <w:r>
        <w:rPr>
          <w:rFonts w:eastAsia="Times New Roman" w:cs="Verdana,Italic"/>
          <w:iCs/>
          <w:sz w:val="20"/>
          <w:szCs w:val="20"/>
        </w:rPr>
        <w:t xml:space="preserve">garantie des </w:t>
      </w:r>
      <w:r w:rsidRPr="00CE0214">
        <w:rPr>
          <w:rFonts w:eastAsia="Times New Roman" w:cs="Verdana,Italic"/>
          <w:iCs/>
          <w:sz w:val="20"/>
          <w:szCs w:val="20"/>
        </w:rPr>
        <w:t>société</w:t>
      </w:r>
      <w:r>
        <w:rPr>
          <w:rFonts w:eastAsia="Times New Roman" w:cs="Verdana,Italic"/>
          <w:iCs/>
          <w:sz w:val="20"/>
          <w:szCs w:val="20"/>
        </w:rPr>
        <w:t>s</w:t>
      </w:r>
      <w:r w:rsidRPr="00CE0214">
        <w:rPr>
          <w:rFonts w:eastAsia="Times New Roman" w:cs="Verdana,Italic"/>
          <w:iCs/>
          <w:sz w:val="20"/>
          <w:szCs w:val="20"/>
        </w:rPr>
        <w:t xml:space="preserve"> de caution mutuelle artisanale (SOCAMA).</w:t>
      </w:r>
      <w:r>
        <w:rPr>
          <w:rFonts w:eastAsia="Times New Roman" w:cs="Verdana,Italic"/>
          <w:iCs/>
          <w:sz w:val="20"/>
          <w:szCs w:val="20"/>
        </w:rPr>
        <w:t xml:space="preserve"> Sur la même période, les Caisses d’Epargne </w:t>
      </w:r>
      <w:r>
        <w:rPr>
          <w:rFonts w:eastAsia="Times New Roman" w:cs="Verdana,Italic"/>
          <w:iCs/>
          <w:color w:val="000000"/>
          <w:sz w:val="20"/>
          <w:szCs w:val="20"/>
        </w:rPr>
        <w:t xml:space="preserve">ont financé les professionnels, les entreprises, les collectivités locales et les </w:t>
      </w:r>
      <w:r w:rsidR="00027C41">
        <w:rPr>
          <w:rFonts w:eastAsia="Times New Roman" w:cs="Verdana,Italic"/>
          <w:iCs/>
          <w:color w:val="000000"/>
          <w:sz w:val="20"/>
          <w:szCs w:val="20"/>
        </w:rPr>
        <w:t>associations à hauteur de 11,2</w:t>
      </w:r>
      <w:r w:rsidR="0087198F">
        <w:rPr>
          <w:rFonts w:eastAsia="Times New Roman" w:cs="Verdana,Italic"/>
          <w:iCs/>
          <w:color w:val="000000"/>
          <w:sz w:val="20"/>
          <w:szCs w:val="20"/>
        </w:rPr>
        <w:t> </w:t>
      </w:r>
      <w:r w:rsidR="00027C41">
        <w:rPr>
          <w:rFonts w:eastAsia="Times New Roman" w:cs="Verdana,Italic"/>
          <w:iCs/>
          <w:color w:val="000000"/>
          <w:sz w:val="20"/>
          <w:szCs w:val="20"/>
        </w:rPr>
        <w:t>milliards d’euros</w:t>
      </w:r>
      <w:r>
        <w:rPr>
          <w:rFonts w:eastAsia="Times New Roman" w:cs="Verdana,Italic"/>
          <w:iCs/>
          <w:color w:val="000000"/>
          <w:sz w:val="20"/>
          <w:szCs w:val="20"/>
        </w:rPr>
        <w:t>.</w:t>
      </w:r>
    </w:p>
    <w:p w:rsidR="001C6114" w:rsidRPr="00CE0214" w:rsidRDefault="001C6114" w:rsidP="001C6114">
      <w:pPr>
        <w:spacing w:before="120"/>
        <w:rPr>
          <w:rFonts w:eastAsia="Times New Roman" w:cs="Verdana,Italic"/>
          <w:iCs/>
          <w:color w:val="FF0000"/>
          <w:sz w:val="20"/>
          <w:szCs w:val="20"/>
        </w:rPr>
      </w:pPr>
      <w:r>
        <w:rPr>
          <w:rFonts w:eastAsia="Times New Roman" w:cs="Verdana,Italic"/>
          <w:iCs/>
          <w:sz w:val="20"/>
          <w:szCs w:val="20"/>
        </w:rPr>
        <w:t xml:space="preserve">Fort de ses ambitions </w:t>
      </w:r>
      <w:r w:rsidRPr="00CE0214">
        <w:rPr>
          <w:rFonts w:eastAsia="Times New Roman" w:cs="Verdana,Italic"/>
          <w:iCs/>
          <w:sz w:val="20"/>
          <w:szCs w:val="20"/>
        </w:rPr>
        <w:t>en matière d’innovation au service de</w:t>
      </w:r>
      <w:r>
        <w:rPr>
          <w:rFonts w:eastAsia="Times New Roman" w:cs="Verdana,Italic"/>
          <w:iCs/>
          <w:sz w:val="20"/>
          <w:szCs w:val="20"/>
        </w:rPr>
        <w:t xml:space="preserve"> se</w:t>
      </w:r>
      <w:r w:rsidRPr="00CE0214">
        <w:rPr>
          <w:rFonts w:eastAsia="Times New Roman" w:cs="Verdana,Italic"/>
          <w:iCs/>
          <w:sz w:val="20"/>
          <w:szCs w:val="20"/>
        </w:rPr>
        <w:t xml:space="preserve">s clients, </w:t>
      </w:r>
      <w:r>
        <w:rPr>
          <w:rFonts w:eastAsia="Times New Roman" w:cs="Verdana,Italic"/>
          <w:iCs/>
          <w:sz w:val="20"/>
          <w:szCs w:val="20"/>
        </w:rPr>
        <w:t xml:space="preserve">le groupe est </w:t>
      </w:r>
      <w:r w:rsidRPr="00CE0214">
        <w:rPr>
          <w:rFonts w:eastAsia="Times New Roman" w:cs="Verdana,Italic"/>
          <w:iCs/>
          <w:sz w:val="20"/>
          <w:szCs w:val="20"/>
        </w:rPr>
        <w:t xml:space="preserve">le premier à proposer une solution de paiement entre particuliers par un simple tweet via </w:t>
      </w:r>
      <w:r>
        <w:rPr>
          <w:rFonts w:eastAsia="Times New Roman" w:cs="Verdana,Italic"/>
          <w:iCs/>
          <w:sz w:val="20"/>
          <w:szCs w:val="20"/>
        </w:rPr>
        <w:t xml:space="preserve">le </w:t>
      </w:r>
      <w:r w:rsidR="005A1DE7">
        <w:rPr>
          <w:rFonts w:eastAsia="Times New Roman" w:cs="Verdana,Italic"/>
          <w:iCs/>
          <w:sz w:val="20"/>
          <w:szCs w:val="20"/>
        </w:rPr>
        <w:t>porte-monnaie</w:t>
      </w:r>
      <w:r w:rsidRPr="00CE0214">
        <w:rPr>
          <w:rFonts w:eastAsia="Times New Roman" w:cs="Verdana,Italic"/>
          <w:iCs/>
          <w:sz w:val="20"/>
          <w:szCs w:val="20"/>
        </w:rPr>
        <w:t xml:space="preserve"> électronique S-Money. Le </w:t>
      </w:r>
      <w:proofErr w:type="spellStart"/>
      <w:r w:rsidRPr="00CE0214">
        <w:rPr>
          <w:rFonts w:eastAsia="Times New Roman" w:cs="Verdana,Italic"/>
          <w:iCs/>
          <w:sz w:val="20"/>
          <w:szCs w:val="20"/>
        </w:rPr>
        <w:t>Cnous</w:t>
      </w:r>
      <w:proofErr w:type="spellEnd"/>
      <w:r w:rsidRPr="00CE0214">
        <w:rPr>
          <w:rFonts w:eastAsia="Times New Roman" w:cs="Verdana,Italic"/>
          <w:iCs/>
          <w:sz w:val="20"/>
          <w:szCs w:val="20"/>
        </w:rPr>
        <w:t xml:space="preserve"> et les Crous </w:t>
      </w:r>
      <w:r w:rsidR="008E672A">
        <w:rPr>
          <w:rFonts w:eastAsia="Times New Roman" w:cs="Verdana,Italic"/>
          <w:iCs/>
          <w:sz w:val="20"/>
          <w:szCs w:val="20"/>
        </w:rPr>
        <w:t xml:space="preserve">(restaurants et œuvres universitaires) </w:t>
      </w:r>
      <w:r w:rsidRPr="00CE0214">
        <w:rPr>
          <w:rFonts w:eastAsia="Times New Roman" w:cs="Verdana,Italic"/>
          <w:iCs/>
          <w:sz w:val="20"/>
          <w:szCs w:val="20"/>
        </w:rPr>
        <w:t xml:space="preserve">ont, par ailleurs, retenu le Groupe BPCE pour mettre en œuvre leur nouvelle </w:t>
      </w:r>
      <w:r>
        <w:rPr>
          <w:rFonts w:eastAsia="Times New Roman" w:cs="Verdana,Italic"/>
          <w:iCs/>
          <w:sz w:val="20"/>
          <w:szCs w:val="20"/>
        </w:rPr>
        <w:t xml:space="preserve">offre </w:t>
      </w:r>
      <w:r w:rsidRPr="00CE0214">
        <w:rPr>
          <w:rFonts w:eastAsia="Times New Roman" w:cs="Verdana,Italic"/>
          <w:iCs/>
          <w:sz w:val="20"/>
          <w:szCs w:val="20"/>
        </w:rPr>
        <w:t xml:space="preserve">monétique, </w:t>
      </w:r>
      <w:proofErr w:type="spellStart"/>
      <w:r w:rsidRPr="00CE0214">
        <w:rPr>
          <w:rFonts w:eastAsia="Times New Roman" w:cs="Verdana,Italic"/>
          <w:iCs/>
          <w:sz w:val="20"/>
          <w:szCs w:val="20"/>
        </w:rPr>
        <w:t>Izly</w:t>
      </w:r>
      <w:proofErr w:type="spellEnd"/>
      <w:r w:rsidRPr="00CE0214">
        <w:rPr>
          <w:rFonts w:eastAsia="Times New Roman" w:cs="Verdana,Italic"/>
          <w:iCs/>
          <w:sz w:val="20"/>
          <w:szCs w:val="20"/>
        </w:rPr>
        <w:t xml:space="preserve">, dès 2015. Cette solution permettra de réaliser des paiements sur les campus au moyen de la carte d’étudiant ou d’un téléphone mobile. </w:t>
      </w:r>
    </w:p>
    <w:p w:rsidR="001C6114" w:rsidRDefault="001C6114" w:rsidP="009072A9">
      <w:pPr>
        <w:autoSpaceDE w:val="0"/>
        <w:autoSpaceDN w:val="0"/>
        <w:adjustRightInd w:val="0"/>
        <w:spacing w:before="120"/>
        <w:rPr>
          <w:rFonts w:eastAsia="Times New Roman" w:cs="Verdana,Italic"/>
          <w:iCs/>
          <w:sz w:val="20"/>
          <w:szCs w:val="20"/>
        </w:rPr>
      </w:pPr>
    </w:p>
    <w:p w:rsidR="009072A9" w:rsidRPr="00D8707E" w:rsidRDefault="009072A9" w:rsidP="009072A9">
      <w:pPr>
        <w:pBdr>
          <w:bottom w:val="single" w:sz="8" w:space="1" w:color="581D74" w:themeColor="accent1"/>
        </w:pBdr>
        <w:autoSpaceDE w:val="0"/>
        <w:autoSpaceDN w:val="0"/>
        <w:adjustRightInd w:val="0"/>
        <w:rPr>
          <w:rFonts w:eastAsia="Times New Roman" w:cs="Verdana,Italic"/>
          <w:b/>
          <w:iCs/>
          <w:color w:val="581D74" w:themeColor="accent1"/>
          <w:spacing w:val="-8"/>
          <w:sz w:val="20"/>
          <w:szCs w:val="20"/>
        </w:rPr>
      </w:pPr>
      <w:r w:rsidRPr="00D8707E">
        <w:rPr>
          <w:rFonts w:eastAsia="Times New Roman" w:cs="Verdana,Italic"/>
          <w:b/>
          <w:iCs/>
          <w:color w:val="581D74" w:themeColor="accent1"/>
          <w:spacing w:val="-8"/>
          <w:sz w:val="20"/>
          <w:szCs w:val="20"/>
        </w:rPr>
        <w:t>Résultats financiers</w:t>
      </w:r>
      <w:r w:rsidR="00D124E2" w:rsidRPr="00D8707E">
        <w:rPr>
          <w:spacing w:val="-8"/>
        </w:rPr>
        <w:fldChar w:fldCharType="begin"/>
      </w:r>
      <w:r w:rsidR="00D124E2" w:rsidRPr="00D8707E">
        <w:rPr>
          <w:spacing w:val="-8"/>
        </w:rPr>
        <w:instrText xml:space="preserve"> NOTEREF _Ref386878191 \f \h  \* MERGEFORMAT </w:instrText>
      </w:r>
      <w:r w:rsidR="00D124E2" w:rsidRPr="00D8707E">
        <w:rPr>
          <w:spacing w:val="-8"/>
        </w:rPr>
      </w:r>
      <w:r w:rsidR="00D124E2" w:rsidRPr="00D8707E">
        <w:rPr>
          <w:spacing w:val="-8"/>
        </w:rPr>
        <w:fldChar w:fldCharType="separate"/>
      </w:r>
      <w:r w:rsidR="005D0707" w:rsidRPr="005D0707">
        <w:rPr>
          <w:rStyle w:val="Appelnotedebasdep"/>
          <w:b/>
          <w:color w:val="581D74" w:themeColor="accent1"/>
          <w:spacing w:val="-8"/>
        </w:rPr>
        <w:t>15</w:t>
      </w:r>
      <w:r w:rsidR="00D124E2" w:rsidRPr="00D8707E">
        <w:rPr>
          <w:spacing w:val="-8"/>
        </w:rPr>
        <w:fldChar w:fldCharType="end"/>
      </w:r>
      <w:r w:rsidRPr="00D8707E">
        <w:rPr>
          <w:rFonts w:eastAsia="Times New Roman" w:cs="Verdana,Italic"/>
          <w:b/>
          <w:iCs/>
          <w:color w:val="581D74" w:themeColor="accent1"/>
          <w:spacing w:val="-8"/>
          <w:sz w:val="20"/>
          <w:szCs w:val="20"/>
        </w:rPr>
        <w:t xml:space="preserve"> du troisième trimestre 2014 de la Banque commerciale et Assurance </w:t>
      </w:r>
    </w:p>
    <w:p w:rsidR="009072A9" w:rsidRPr="00A761D0" w:rsidRDefault="009072A9" w:rsidP="009072A9">
      <w:pPr>
        <w:autoSpaceDE w:val="0"/>
        <w:autoSpaceDN w:val="0"/>
        <w:adjustRightInd w:val="0"/>
        <w:spacing w:before="120"/>
        <w:rPr>
          <w:rFonts w:eastAsia="Times New Roman" w:cs="Verdana,Italic"/>
          <w:iCs/>
          <w:color w:val="FF0000"/>
          <w:sz w:val="20"/>
          <w:szCs w:val="20"/>
        </w:rPr>
      </w:pPr>
      <w:r w:rsidRPr="00A761D0">
        <w:rPr>
          <w:rFonts w:eastAsia="Times New Roman" w:cs="Verdana,Italic"/>
          <w:iCs/>
          <w:sz w:val="20"/>
          <w:szCs w:val="20"/>
        </w:rPr>
        <w:t xml:space="preserve">Les </w:t>
      </w:r>
      <w:r w:rsidRPr="00A761D0">
        <w:rPr>
          <w:rFonts w:eastAsia="Times New Roman" w:cs="Verdana,Italic"/>
          <w:b/>
          <w:iCs/>
          <w:sz w:val="20"/>
          <w:szCs w:val="20"/>
        </w:rPr>
        <w:t>revenus</w:t>
      </w:r>
      <w:r w:rsidRPr="00A761D0">
        <w:rPr>
          <w:rFonts w:eastAsia="Times New Roman" w:cs="Verdana,Italic"/>
          <w:iCs/>
          <w:sz w:val="20"/>
          <w:szCs w:val="20"/>
        </w:rPr>
        <w:t xml:space="preserve"> de la Banque commerciale et Assurance s’établissent à 3</w:t>
      </w:r>
      <w:r w:rsidR="0087198F">
        <w:rPr>
          <w:rFonts w:eastAsia="Times New Roman" w:cs="Verdana,Italic"/>
          <w:iCs/>
          <w:sz w:val="20"/>
          <w:szCs w:val="20"/>
        </w:rPr>
        <w:t> </w:t>
      </w:r>
      <w:r w:rsidRPr="00A761D0">
        <w:rPr>
          <w:rFonts w:eastAsia="Times New Roman" w:cs="Verdana,Italic"/>
          <w:iCs/>
          <w:sz w:val="20"/>
          <w:szCs w:val="20"/>
        </w:rPr>
        <w:t>7</w:t>
      </w:r>
      <w:r w:rsidR="00A44E53">
        <w:rPr>
          <w:rFonts w:eastAsia="Times New Roman" w:cs="Verdana,Italic"/>
          <w:iCs/>
          <w:sz w:val="20"/>
          <w:szCs w:val="20"/>
        </w:rPr>
        <w:t>79</w:t>
      </w:r>
      <w:r w:rsidR="0087198F">
        <w:rPr>
          <w:rFonts w:eastAsia="Times New Roman" w:cs="Verdana,Italic"/>
          <w:iCs/>
          <w:sz w:val="20"/>
          <w:szCs w:val="20"/>
        </w:rPr>
        <w:t> </w:t>
      </w:r>
      <w:r w:rsidR="001063B8">
        <w:rPr>
          <w:rFonts w:eastAsia="Times New Roman" w:cs="Verdana,Italic"/>
          <w:iCs/>
          <w:sz w:val="20"/>
          <w:szCs w:val="20"/>
        </w:rPr>
        <w:t> </w:t>
      </w:r>
      <w:r w:rsidRPr="00A761D0">
        <w:rPr>
          <w:rFonts w:eastAsia="Times New Roman" w:cs="Verdana,Italic"/>
          <w:iCs/>
          <w:sz w:val="20"/>
          <w:szCs w:val="20"/>
        </w:rPr>
        <w:t>millions</w:t>
      </w:r>
      <w:r w:rsidR="00027C41" w:rsidRPr="0004254B">
        <w:rPr>
          <w:rStyle w:val="Appelnotedebasdep"/>
          <w:rFonts w:eastAsia="Times New Roman" w:cs="Verdana,Italic"/>
          <w:iCs/>
          <w:sz w:val="20"/>
          <w:szCs w:val="20"/>
        </w:rPr>
        <w:footnoteReference w:id="17"/>
      </w:r>
      <w:r w:rsidRPr="00A761D0">
        <w:rPr>
          <w:rFonts w:eastAsia="Times New Roman" w:cs="Verdana,Italic"/>
          <w:iCs/>
          <w:sz w:val="20"/>
          <w:szCs w:val="20"/>
        </w:rPr>
        <w:t xml:space="preserve"> d’euros au troisième trimestre 2014, soit u</w:t>
      </w:r>
      <w:r w:rsidR="00A44E53">
        <w:rPr>
          <w:rFonts w:eastAsia="Times New Roman" w:cs="Verdana,Italic"/>
          <w:iCs/>
          <w:sz w:val="20"/>
          <w:szCs w:val="20"/>
        </w:rPr>
        <w:t xml:space="preserve">ne </w:t>
      </w:r>
      <w:r w:rsidR="003F0E0F">
        <w:rPr>
          <w:rFonts w:eastAsia="Times New Roman" w:cs="Verdana,Italic"/>
          <w:iCs/>
          <w:sz w:val="20"/>
          <w:szCs w:val="20"/>
        </w:rPr>
        <w:t>croissance</w:t>
      </w:r>
      <w:r w:rsidR="00A44E53">
        <w:rPr>
          <w:rFonts w:eastAsia="Times New Roman" w:cs="Verdana,Italic"/>
          <w:iCs/>
          <w:sz w:val="20"/>
          <w:szCs w:val="20"/>
        </w:rPr>
        <w:t xml:space="preserve"> de 2,2</w:t>
      </w:r>
      <w:r w:rsidRPr="00A761D0">
        <w:rPr>
          <w:rFonts w:eastAsia="Times New Roman" w:cs="Verdana,Italic"/>
          <w:iCs/>
          <w:sz w:val="20"/>
          <w:szCs w:val="20"/>
        </w:rPr>
        <w:t> % par rapport au troisième trimestre 2013. La marge nette d’intérêt continue de progresser, portée par la hausse des encours de crédit et la baisse du coût des ressources réglementées</w:t>
      </w:r>
      <w:r>
        <w:rPr>
          <w:rFonts w:eastAsia="Times New Roman" w:cs="Verdana,Italic"/>
          <w:iCs/>
          <w:sz w:val="20"/>
          <w:szCs w:val="20"/>
        </w:rPr>
        <w:t>. Sur l</w:t>
      </w:r>
      <w:r w:rsidRPr="00A761D0">
        <w:rPr>
          <w:rFonts w:eastAsia="Times New Roman" w:cs="Verdana,Italic"/>
          <w:iCs/>
          <w:sz w:val="20"/>
          <w:szCs w:val="20"/>
        </w:rPr>
        <w:t xml:space="preserve">es commissions, l’impact sensible des mesures réglementaires (baisse du </w:t>
      </w:r>
      <w:r w:rsidRPr="00FB0B82">
        <w:rPr>
          <w:rFonts w:eastAsia="Times New Roman" w:cs="Verdana,Italic"/>
          <w:iCs/>
          <w:sz w:val="20"/>
          <w:szCs w:val="20"/>
        </w:rPr>
        <w:t>taux de commission sur l’épargne réglementée et plafonnement des commissions d’intervention) a été atténué par la bonne orientation des commissions d’assurance vie.</w:t>
      </w:r>
    </w:p>
    <w:p w:rsidR="009072A9" w:rsidRPr="00546B97" w:rsidRDefault="009072A9" w:rsidP="009072A9">
      <w:pPr>
        <w:autoSpaceDE w:val="0"/>
        <w:autoSpaceDN w:val="0"/>
        <w:adjustRightInd w:val="0"/>
        <w:spacing w:before="120"/>
        <w:rPr>
          <w:rFonts w:eastAsia="Times New Roman" w:cs="Verdana,Italic"/>
          <w:iCs/>
          <w:sz w:val="20"/>
          <w:szCs w:val="20"/>
        </w:rPr>
      </w:pPr>
      <w:r w:rsidRPr="00546B97">
        <w:rPr>
          <w:rFonts w:eastAsia="Times New Roman" w:cs="Verdana,Italic"/>
          <w:iCs/>
          <w:sz w:val="20"/>
          <w:szCs w:val="20"/>
        </w:rPr>
        <w:t>Le</w:t>
      </w:r>
      <w:r w:rsidRPr="00546B97">
        <w:rPr>
          <w:rFonts w:eastAsia="Times New Roman" w:cs="Verdana,Italic"/>
          <w:b/>
          <w:iCs/>
          <w:sz w:val="20"/>
          <w:szCs w:val="20"/>
        </w:rPr>
        <w:t xml:space="preserve"> résultat brut d’exploitation</w:t>
      </w:r>
      <w:r w:rsidRPr="00546B97">
        <w:rPr>
          <w:rFonts w:eastAsia="Times New Roman" w:cs="Verdana,Italic"/>
          <w:iCs/>
          <w:sz w:val="20"/>
          <w:szCs w:val="20"/>
        </w:rPr>
        <w:t xml:space="preserve"> s’établit à 1</w:t>
      </w:r>
      <w:r w:rsidR="00014E27" w:rsidRPr="00546B97">
        <w:rPr>
          <w:rFonts w:eastAsia="Times New Roman" w:cs="Verdana,Italic"/>
          <w:iCs/>
          <w:sz w:val="20"/>
          <w:szCs w:val="20"/>
        </w:rPr>
        <w:t> </w:t>
      </w:r>
      <w:r w:rsidRPr="00546B97">
        <w:rPr>
          <w:rFonts w:eastAsia="Times New Roman" w:cs="Verdana,Italic"/>
          <w:iCs/>
          <w:sz w:val="20"/>
          <w:szCs w:val="20"/>
        </w:rPr>
        <w:t>381 millions d’euros, en hausse de 11,0 % par rapport au troisième trimestre 2013.</w:t>
      </w:r>
    </w:p>
    <w:p w:rsidR="009072A9" w:rsidRPr="00546B97" w:rsidRDefault="009072A9" w:rsidP="009072A9">
      <w:pPr>
        <w:autoSpaceDE w:val="0"/>
        <w:autoSpaceDN w:val="0"/>
        <w:adjustRightInd w:val="0"/>
        <w:spacing w:before="120"/>
        <w:rPr>
          <w:rFonts w:eastAsia="Times New Roman" w:cs="Verdana,Italic"/>
          <w:iCs/>
          <w:sz w:val="20"/>
          <w:szCs w:val="20"/>
        </w:rPr>
      </w:pPr>
      <w:r w:rsidRPr="00546B97">
        <w:rPr>
          <w:rFonts w:eastAsia="Times New Roman" w:cs="Verdana,Italic"/>
          <w:iCs/>
          <w:sz w:val="20"/>
          <w:szCs w:val="20"/>
        </w:rPr>
        <w:t>Le</w:t>
      </w:r>
      <w:r w:rsidRPr="00546B97">
        <w:rPr>
          <w:rFonts w:eastAsia="Times New Roman" w:cs="Verdana,Italic"/>
          <w:b/>
          <w:iCs/>
          <w:sz w:val="20"/>
          <w:szCs w:val="20"/>
        </w:rPr>
        <w:t xml:space="preserve"> coefficient d’exploitation</w:t>
      </w:r>
      <w:r w:rsidRPr="00546B97">
        <w:rPr>
          <w:rFonts w:eastAsia="Times New Roman" w:cs="Verdana,Italic"/>
          <w:iCs/>
          <w:sz w:val="20"/>
          <w:szCs w:val="20"/>
        </w:rPr>
        <w:t xml:space="preserve"> ressort à 63,5 %, en baisse de 2,7 point</w:t>
      </w:r>
      <w:r w:rsidR="009D506A">
        <w:rPr>
          <w:rFonts w:eastAsia="Times New Roman" w:cs="Verdana,Italic"/>
          <w:iCs/>
          <w:sz w:val="20"/>
          <w:szCs w:val="20"/>
        </w:rPr>
        <w:t>s</w:t>
      </w:r>
      <w:r w:rsidRPr="00546B97">
        <w:rPr>
          <w:rFonts w:eastAsia="Times New Roman" w:cs="Verdana,Italic"/>
          <w:iCs/>
          <w:sz w:val="20"/>
          <w:szCs w:val="20"/>
        </w:rPr>
        <w:t xml:space="preserve"> sur un an. </w:t>
      </w:r>
    </w:p>
    <w:p w:rsidR="009072A9" w:rsidRPr="00F22684" w:rsidRDefault="009072A9" w:rsidP="009072A9">
      <w:pPr>
        <w:autoSpaceDE w:val="0"/>
        <w:autoSpaceDN w:val="0"/>
        <w:adjustRightInd w:val="0"/>
        <w:spacing w:before="120"/>
        <w:rPr>
          <w:rFonts w:eastAsia="Times New Roman" w:cs="Verdana,Italic"/>
          <w:iCs/>
          <w:sz w:val="20"/>
          <w:szCs w:val="20"/>
        </w:rPr>
      </w:pPr>
      <w:r w:rsidRPr="00F22684">
        <w:rPr>
          <w:rFonts w:eastAsia="Times New Roman" w:cs="Verdana,Italic"/>
          <w:iCs/>
          <w:sz w:val="20"/>
          <w:szCs w:val="20"/>
        </w:rPr>
        <w:t xml:space="preserve">Le </w:t>
      </w:r>
      <w:r w:rsidRPr="00F22684">
        <w:rPr>
          <w:rFonts w:eastAsia="Times New Roman" w:cs="Verdana,Italic"/>
          <w:b/>
          <w:iCs/>
          <w:sz w:val="20"/>
          <w:szCs w:val="20"/>
        </w:rPr>
        <w:t>coût du risque</w:t>
      </w:r>
      <w:r w:rsidR="0087198F">
        <w:rPr>
          <w:rFonts w:eastAsia="Times New Roman" w:cs="Verdana,Italic"/>
          <w:iCs/>
          <w:sz w:val="20"/>
          <w:szCs w:val="20"/>
        </w:rPr>
        <w:t>, à 342 </w:t>
      </w:r>
      <w:r w:rsidRPr="00F22684">
        <w:rPr>
          <w:rFonts w:eastAsia="Times New Roman" w:cs="Verdana,Italic"/>
          <w:iCs/>
          <w:sz w:val="20"/>
          <w:szCs w:val="20"/>
        </w:rPr>
        <w:t>millions d’euros, est en hausse de 3,2 %.</w:t>
      </w:r>
    </w:p>
    <w:p w:rsidR="009072A9" w:rsidRDefault="009072A9" w:rsidP="009072A9">
      <w:pPr>
        <w:autoSpaceDE w:val="0"/>
        <w:autoSpaceDN w:val="0"/>
        <w:adjustRightInd w:val="0"/>
        <w:spacing w:before="120"/>
        <w:rPr>
          <w:rFonts w:eastAsia="Times New Roman" w:cs="Verdana,Italic"/>
          <w:iCs/>
          <w:sz w:val="20"/>
          <w:szCs w:val="20"/>
        </w:rPr>
      </w:pPr>
      <w:r w:rsidRPr="00F22684">
        <w:rPr>
          <w:rFonts w:eastAsia="Times New Roman" w:cs="Verdana,Italic"/>
          <w:iCs/>
          <w:sz w:val="20"/>
          <w:szCs w:val="20"/>
        </w:rPr>
        <w:t>La</w:t>
      </w:r>
      <w:r w:rsidRPr="00F22684">
        <w:rPr>
          <w:rFonts w:eastAsia="Times New Roman" w:cs="Verdana,Italic"/>
          <w:b/>
          <w:iCs/>
          <w:sz w:val="20"/>
          <w:szCs w:val="20"/>
        </w:rPr>
        <w:t xml:space="preserve"> contribution de</w:t>
      </w:r>
      <w:r w:rsidRPr="00F22684">
        <w:rPr>
          <w:rFonts w:eastAsia="Times New Roman" w:cs="Verdana,Italic"/>
          <w:iCs/>
          <w:sz w:val="20"/>
          <w:szCs w:val="20"/>
        </w:rPr>
        <w:t xml:space="preserve"> </w:t>
      </w:r>
      <w:r w:rsidRPr="00F22684">
        <w:rPr>
          <w:rFonts w:eastAsia="Times New Roman" w:cs="Verdana,Italic"/>
          <w:b/>
          <w:iCs/>
          <w:sz w:val="20"/>
          <w:szCs w:val="20"/>
        </w:rPr>
        <w:t>la Banque commerciale et Assurance au résultat avant impôt du groupe</w:t>
      </w:r>
      <w:r w:rsidR="00563326">
        <w:rPr>
          <w:rFonts w:eastAsia="Times New Roman" w:cs="Verdana,Italic"/>
          <w:iCs/>
          <w:sz w:val="20"/>
          <w:szCs w:val="20"/>
        </w:rPr>
        <w:t xml:space="preserve"> s’établit à 1 092</w:t>
      </w:r>
      <w:r w:rsidR="0004254B">
        <w:rPr>
          <w:rFonts w:eastAsia="Times New Roman" w:cs="Verdana,Italic"/>
          <w:iCs/>
          <w:sz w:val="20"/>
          <w:szCs w:val="20"/>
        </w:rPr>
        <w:t> millions d’euros</w:t>
      </w:r>
      <w:r w:rsidRPr="00F22684">
        <w:rPr>
          <w:rFonts w:eastAsia="Times New Roman" w:cs="Verdana,Italic"/>
          <w:iCs/>
          <w:sz w:val="20"/>
          <w:szCs w:val="20"/>
        </w:rPr>
        <w:t xml:space="preserve"> </w:t>
      </w:r>
      <w:r w:rsidR="003F0E89">
        <w:rPr>
          <w:rFonts w:eastAsia="Times New Roman" w:cs="Verdana,Italic"/>
          <w:iCs/>
          <w:sz w:val="20"/>
          <w:szCs w:val="20"/>
        </w:rPr>
        <w:t xml:space="preserve">au troisième trimestre 2014, en hausse de </w:t>
      </w:r>
      <w:r w:rsidRPr="00F22684">
        <w:rPr>
          <w:rFonts w:eastAsia="Times New Roman" w:cs="Verdana,Italic"/>
          <w:iCs/>
          <w:sz w:val="20"/>
          <w:szCs w:val="20"/>
        </w:rPr>
        <w:t xml:space="preserve">14,0 % </w:t>
      </w:r>
      <w:r w:rsidR="00A56CE8">
        <w:rPr>
          <w:rFonts w:eastAsia="Times New Roman" w:cs="Verdana,Italic"/>
          <w:iCs/>
          <w:sz w:val="20"/>
          <w:szCs w:val="20"/>
        </w:rPr>
        <w:t>par rapport au troisième trimestre 2013</w:t>
      </w:r>
      <w:r w:rsidR="003F0E89">
        <w:rPr>
          <w:rFonts w:eastAsia="Times New Roman" w:cs="Verdana,Italic"/>
          <w:iCs/>
          <w:sz w:val="20"/>
          <w:szCs w:val="20"/>
        </w:rPr>
        <w:t xml:space="preserve">. Sur les neuf premiers mois de l’année 2014, </w:t>
      </w:r>
      <w:r w:rsidR="003F0E89" w:rsidRPr="003F0E89">
        <w:rPr>
          <w:rFonts w:eastAsia="Times New Roman" w:cs="Verdana,Italic"/>
          <w:iCs/>
          <w:sz w:val="20"/>
          <w:szCs w:val="20"/>
        </w:rPr>
        <w:t>le résultat avant impôt du groupe</w:t>
      </w:r>
      <w:r w:rsidR="003F0E89">
        <w:rPr>
          <w:rFonts w:eastAsia="Times New Roman" w:cs="Verdana,Italic"/>
          <w:iCs/>
          <w:sz w:val="20"/>
          <w:szCs w:val="20"/>
        </w:rPr>
        <w:t xml:space="preserve"> ressort à 3 053 millions d’euros </w:t>
      </w:r>
      <w:r w:rsidR="003F0E89" w:rsidRPr="00F22684">
        <w:rPr>
          <w:rFonts w:eastAsia="Times New Roman" w:cs="Verdana,Italic"/>
          <w:iCs/>
          <w:sz w:val="20"/>
          <w:szCs w:val="20"/>
        </w:rPr>
        <w:t>(dont 48 % provien</w:t>
      </w:r>
      <w:r w:rsidR="003F0E89">
        <w:rPr>
          <w:rFonts w:eastAsia="Times New Roman" w:cs="Verdana,Italic"/>
          <w:iCs/>
          <w:sz w:val="20"/>
          <w:szCs w:val="20"/>
        </w:rPr>
        <w:t>nen</w:t>
      </w:r>
      <w:r w:rsidR="003F0E89" w:rsidRPr="00F22684">
        <w:rPr>
          <w:rFonts w:eastAsia="Times New Roman" w:cs="Verdana,Italic"/>
          <w:iCs/>
          <w:sz w:val="20"/>
          <w:szCs w:val="20"/>
        </w:rPr>
        <w:t xml:space="preserve">t des Caisses d’Epargne, 39 % des Banques Populaires et 13 % de l’Assurance et des Autres réseaux). </w:t>
      </w:r>
      <w:r w:rsidR="003F0E89">
        <w:rPr>
          <w:rFonts w:eastAsia="Times New Roman" w:cs="Verdana,Italic"/>
          <w:iCs/>
          <w:sz w:val="20"/>
          <w:szCs w:val="20"/>
        </w:rPr>
        <w:t>Il s’accroît de 11,6</w:t>
      </w:r>
      <w:r w:rsidR="0087198F">
        <w:rPr>
          <w:rFonts w:eastAsia="Times New Roman" w:cs="Verdana,Italic"/>
          <w:iCs/>
          <w:sz w:val="20"/>
          <w:szCs w:val="20"/>
        </w:rPr>
        <w:t> </w:t>
      </w:r>
      <w:r w:rsidR="003F0E89">
        <w:rPr>
          <w:rFonts w:eastAsia="Times New Roman" w:cs="Verdana,Italic"/>
          <w:iCs/>
          <w:sz w:val="20"/>
          <w:szCs w:val="20"/>
        </w:rPr>
        <w:t xml:space="preserve">% </w:t>
      </w:r>
      <w:r w:rsidR="00A56CE8">
        <w:rPr>
          <w:rFonts w:eastAsia="Times New Roman" w:cs="Verdana,Italic"/>
          <w:iCs/>
          <w:sz w:val="20"/>
          <w:szCs w:val="20"/>
        </w:rPr>
        <w:t>par rapport au</w:t>
      </w:r>
      <w:r w:rsidR="005D0E81">
        <w:rPr>
          <w:rFonts w:eastAsia="Times New Roman" w:cs="Verdana,Italic"/>
          <w:iCs/>
          <w:sz w:val="20"/>
          <w:szCs w:val="20"/>
        </w:rPr>
        <w:t>x neuf premiers mois de l’année</w:t>
      </w:r>
      <w:r w:rsidR="00A56CE8">
        <w:rPr>
          <w:rFonts w:eastAsia="Times New Roman" w:cs="Verdana,Italic"/>
          <w:iCs/>
          <w:sz w:val="20"/>
          <w:szCs w:val="20"/>
        </w:rPr>
        <w:t xml:space="preserve"> 2013</w:t>
      </w:r>
      <w:r w:rsidR="003F0E89">
        <w:rPr>
          <w:rFonts w:eastAsia="Times New Roman" w:cs="Verdana,Italic"/>
          <w:iCs/>
          <w:sz w:val="20"/>
          <w:szCs w:val="20"/>
        </w:rPr>
        <w:t xml:space="preserve">. </w:t>
      </w:r>
    </w:p>
    <w:p w:rsidR="0087198F" w:rsidRDefault="0087198F">
      <w:pPr>
        <w:spacing w:after="200" w:line="276" w:lineRule="auto"/>
        <w:jc w:val="left"/>
        <w:rPr>
          <w:rFonts w:eastAsia="Times New Roman" w:cs="Verdana,Italic"/>
          <w:iCs/>
          <w:color w:val="FF0000"/>
          <w:sz w:val="20"/>
          <w:szCs w:val="20"/>
        </w:rPr>
      </w:pPr>
      <w:r>
        <w:rPr>
          <w:rFonts w:eastAsia="Times New Roman" w:cs="Verdana,Italic"/>
          <w:iCs/>
          <w:color w:val="FF0000"/>
          <w:sz w:val="20"/>
          <w:szCs w:val="20"/>
        </w:rPr>
        <w:br w:type="page"/>
      </w:r>
    </w:p>
    <w:p w:rsidR="009072A9" w:rsidRPr="004F4252" w:rsidRDefault="009072A9" w:rsidP="00D8707E">
      <w:pPr>
        <w:autoSpaceDE w:val="0"/>
        <w:autoSpaceDN w:val="0"/>
        <w:adjustRightInd w:val="0"/>
        <w:spacing w:before="120"/>
        <w:jc w:val="left"/>
        <w:rPr>
          <w:rFonts w:eastAsia="Times New Roman" w:cs="Verdana,Italic"/>
          <w:iCs/>
          <w:color w:val="000000"/>
          <w:sz w:val="20"/>
          <w:szCs w:val="20"/>
        </w:rPr>
      </w:pPr>
      <w:r w:rsidRPr="00EE1174">
        <w:rPr>
          <w:rFonts w:eastAsia="Times New Roman" w:cs="Verdana,Bold"/>
          <w:b/>
          <w:bCs/>
          <w:color w:val="E36C0A"/>
          <w:sz w:val="20"/>
          <w:szCs w:val="20"/>
        </w:rPr>
        <w:lastRenderedPageBreak/>
        <w:t>3.1.1</w:t>
      </w:r>
      <w:r w:rsidR="00D8707E">
        <w:rPr>
          <w:rFonts w:eastAsia="Times New Roman" w:cs="Verdana,Italic"/>
          <w:b/>
          <w:bCs/>
          <w:iCs/>
          <w:color w:val="000000"/>
          <w:sz w:val="20"/>
          <w:szCs w:val="20"/>
        </w:rPr>
        <w:t xml:space="preserve">  </w:t>
      </w:r>
      <w:r w:rsidRPr="003E3BA4">
        <w:rPr>
          <w:rFonts w:eastAsia="Times New Roman" w:cs="Verdana,Bold"/>
          <w:b/>
          <w:bCs/>
          <w:color w:val="581D74"/>
          <w:sz w:val="20"/>
          <w:szCs w:val="20"/>
        </w:rPr>
        <w:t>Banque Populaire</w:t>
      </w:r>
      <w:r w:rsidR="0004254B">
        <w:rPr>
          <w:rFonts w:eastAsia="Times New Roman" w:cs="Verdana,Bold"/>
          <w:b/>
          <w:bCs/>
          <w:color w:val="581D74"/>
          <w:sz w:val="20"/>
          <w:szCs w:val="20"/>
        </w:rPr>
        <w:t xml:space="preserve"> : bonne contribution de l’assurance </w:t>
      </w:r>
      <w:r w:rsidR="00D8707E">
        <w:rPr>
          <w:rFonts w:eastAsia="Times New Roman" w:cs="Verdana,Bold"/>
          <w:b/>
          <w:bCs/>
          <w:color w:val="581D74"/>
          <w:sz w:val="20"/>
          <w:szCs w:val="20"/>
        </w:rPr>
        <w:br/>
      </w:r>
      <w:r w:rsidR="00D8707E">
        <w:rPr>
          <w:rFonts w:eastAsia="Times New Roman" w:cs="Verdana,Bold"/>
          <w:b/>
          <w:bCs/>
          <w:color w:val="581D74"/>
          <w:sz w:val="20"/>
          <w:szCs w:val="20"/>
        </w:rPr>
        <w:tab/>
      </w:r>
      <w:r w:rsidR="0004254B">
        <w:rPr>
          <w:rFonts w:eastAsia="Times New Roman" w:cs="Verdana,Bold"/>
          <w:b/>
          <w:bCs/>
          <w:color w:val="581D74"/>
          <w:sz w:val="20"/>
          <w:szCs w:val="20"/>
        </w:rPr>
        <w:t>à la dynamique commerciale</w:t>
      </w:r>
    </w:p>
    <w:p w:rsidR="009072A9" w:rsidRPr="00EE1174" w:rsidRDefault="009072A9" w:rsidP="009072A9">
      <w:pPr>
        <w:autoSpaceDE w:val="0"/>
        <w:autoSpaceDN w:val="0"/>
        <w:adjustRightInd w:val="0"/>
        <w:rPr>
          <w:rFonts w:eastAsia="Times New Roman" w:cs="Verdana,Italic"/>
          <w:i/>
          <w:iCs/>
          <w:color w:val="000000"/>
          <w:sz w:val="20"/>
          <w:szCs w:val="20"/>
        </w:rPr>
      </w:pPr>
    </w:p>
    <w:p w:rsidR="009072A9" w:rsidRPr="00F22684" w:rsidRDefault="009072A9" w:rsidP="009072A9">
      <w:pPr>
        <w:autoSpaceDE w:val="0"/>
        <w:autoSpaceDN w:val="0"/>
        <w:adjustRightInd w:val="0"/>
        <w:rPr>
          <w:rFonts w:eastAsia="Times New Roman" w:cs="Verdana,Italic"/>
          <w:i/>
          <w:iCs/>
          <w:color w:val="825D69" w:themeColor="text2"/>
          <w:sz w:val="18"/>
          <w:szCs w:val="18"/>
        </w:rPr>
      </w:pPr>
      <w:r w:rsidRPr="00F22684">
        <w:rPr>
          <w:rFonts w:eastAsia="Times New Roman" w:cs="Verdana,Italic"/>
          <w:i/>
          <w:iCs/>
          <w:color w:val="825D69" w:themeColor="text2"/>
          <w:sz w:val="18"/>
          <w:szCs w:val="18"/>
        </w:rPr>
        <w:t xml:space="preserve">Le réseau Banque Populaire regroupe les 19 Banques Populaires, dont la CASDEN Banque Populaire et le Crédit Coopératif ainsi que leurs filiales, le Crédit Maritime Mutuel et les sociétés de caution mutuelle. </w:t>
      </w:r>
    </w:p>
    <w:p w:rsidR="009072A9" w:rsidRPr="00A52285" w:rsidRDefault="009072A9" w:rsidP="009072A9">
      <w:pPr>
        <w:autoSpaceDE w:val="0"/>
        <w:autoSpaceDN w:val="0"/>
        <w:adjustRightInd w:val="0"/>
        <w:rPr>
          <w:rFonts w:eastAsia="Times New Roman" w:cs="Verdana,Italic"/>
          <w:i/>
          <w:iCs/>
          <w:color w:val="FF0000"/>
          <w:sz w:val="20"/>
          <w:szCs w:val="20"/>
        </w:rPr>
      </w:pPr>
    </w:p>
    <w:p w:rsidR="009072A9" w:rsidRPr="00A52285" w:rsidRDefault="009072A9" w:rsidP="009072A9">
      <w:pPr>
        <w:numPr>
          <w:ilvl w:val="1"/>
          <w:numId w:val="5"/>
        </w:numPr>
        <w:autoSpaceDE w:val="0"/>
        <w:autoSpaceDN w:val="0"/>
        <w:adjustRightInd w:val="0"/>
        <w:spacing w:line="340" w:lineRule="atLeast"/>
        <w:jc w:val="left"/>
        <w:rPr>
          <w:rFonts w:eastAsia="Times New Roman" w:cs="Verdana,Italic"/>
          <w:b/>
          <w:bCs/>
          <w:iCs/>
          <w:color w:val="000000"/>
          <w:sz w:val="20"/>
          <w:szCs w:val="20"/>
        </w:rPr>
      </w:pPr>
      <w:r w:rsidRPr="00A52285">
        <w:rPr>
          <w:rFonts w:eastAsia="Times New Roman" w:cs="Verdana,Italic"/>
          <w:b/>
          <w:bCs/>
          <w:iCs/>
          <w:color w:val="000000"/>
          <w:sz w:val="20"/>
          <w:szCs w:val="20"/>
        </w:rPr>
        <w:t>Fonds de commerce</w:t>
      </w:r>
    </w:p>
    <w:p w:rsidR="009072A9" w:rsidRPr="00A52285" w:rsidRDefault="009072A9" w:rsidP="009072A9">
      <w:pPr>
        <w:autoSpaceDE w:val="0"/>
        <w:autoSpaceDN w:val="0"/>
        <w:adjustRightInd w:val="0"/>
        <w:rPr>
          <w:rFonts w:eastAsia="Times New Roman" w:cs="Verdana,Italic"/>
          <w:iCs/>
          <w:color w:val="FF0000"/>
          <w:sz w:val="20"/>
          <w:szCs w:val="20"/>
        </w:rPr>
      </w:pPr>
    </w:p>
    <w:p w:rsidR="009072A9" w:rsidRDefault="009072A9" w:rsidP="009072A9">
      <w:pPr>
        <w:autoSpaceDE w:val="0"/>
        <w:autoSpaceDN w:val="0"/>
        <w:adjustRightInd w:val="0"/>
        <w:rPr>
          <w:rFonts w:eastAsia="Times New Roman" w:cs="Verdana,Italic"/>
          <w:iCs/>
          <w:sz w:val="20"/>
          <w:szCs w:val="20"/>
        </w:rPr>
      </w:pPr>
      <w:r w:rsidRPr="00F5203C">
        <w:rPr>
          <w:rFonts w:eastAsia="Times New Roman" w:cs="Verdana,Italic"/>
          <w:iCs/>
          <w:sz w:val="20"/>
          <w:szCs w:val="20"/>
        </w:rPr>
        <w:t>Le réseau Banque Populaire poursuit sa stratégie de bancarisat</w:t>
      </w:r>
      <w:r>
        <w:rPr>
          <w:rFonts w:eastAsia="Times New Roman" w:cs="Verdana,Italic"/>
          <w:iCs/>
          <w:sz w:val="20"/>
          <w:szCs w:val="20"/>
        </w:rPr>
        <w:t xml:space="preserve">ion qui se traduit </w:t>
      </w:r>
      <w:r w:rsidRPr="00F5203C">
        <w:rPr>
          <w:rFonts w:eastAsia="Times New Roman" w:cs="Verdana,Italic"/>
          <w:iCs/>
          <w:sz w:val="20"/>
          <w:szCs w:val="20"/>
        </w:rPr>
        <w:t xml:space="preserve">par une progression </w:t>
      </w:r>
      <w:r w:rsidR="00BD31E2">
        <w:rPr>
          <w:rFonts w:eastAsia="Times New Roman" w:cs="Verdana,Italic"/>
          <w:iCs/>
          <w:sz w:val="20"/>
          <w:szCs w:val="20"/>
        </w:rPr>
        <w:t xml:space="preserve">de 6,2 % sur un an </w:t>
      </w:r>
      <w:r w:rsidRPr="00F5203C">
        <w:rPr>
          <w:rFonts w:eastAsia="Times New Roman" w:cs="Verdana,Italic"/>
          <w:iCs/>
          <w:sz w:val="20"/>
          <w:szCs w:val="20"/>
        </w:rPr>
        <w:t>de ses clients particuliers actifs équipés et assurés</w:t>
      </w:r>
      <w:r w:rsidR="0004254B">
        <w:rPr>
          <w:rFonts w:eastAsia="Times New Roman" w:cs="Verdana,Italic"/>
          <w:iCs/>
          <w:sz w:val="20"/>
          <w:szCs w:val="20"/>
        </w:rPr>
        <w:t xml:space="preserve"> et un accroissement </w:t>
      </w:r>
      <w:r w:rsidR="00A675AE">
        <w:rPr>
          <w:rFonts w:eastAsia="Times New Roman" w:cs="Verdana,Italic"/>
          <w:iCs/>
          <w:sz w:val="20"/>
          <w:szCs w:val="20"/>
        </w:rPr>
        <w:t xml:space="preserve">de 2,5 % </w:t>
      </w:r>
      <w:r w:rsidR="00BD31E2">
        <w:rPr>
          <w:rFonts w:eastAsia="Times New Roman" w:cs="Verdana,Italic"/>
          <w:iCs/>
          <w:sz w:val="20"/>
          <w:szCs w:val="20"/>
        </w:rPr>
        <w:t xml:space="preserve">des </w:t>
      </w:r>
      <w:r w:rsidR="0004254B">
        <w:rPr>
          <w:rFonts w:eastAsia="Times New Roman" w:cs="Verdana,Italic"/>
          <w:iCs/>
          <w:sz w:val="20"/>
          <w:szCs w:val="20"/>
        </w:rPr>
        <w:t>clients professio</w:t>
      </w:r>
      <w:r w:rsidR="00BD31E2">
        <w:rPr>
          <w:rFonts w:eastAsia="Times New Roman" w:cs="Verdana,Italic"/>
          <w:iCs/>
          <w:sz w:val="20"/>
          <w:szCs w:val="20"/>
        </w:rPr>
        <w:t>nnels en double relation active.</w:t>
      </w:r>
      <w:r w:rsidR="0004254B">
        <w:rPr>
          <w:rFonts w:eastAsia="Times New Roman" w:cs="Verdana,Italic"/>
          <w:iCs/>
          <w:sz w:val="20"/>
          <w:szCs w:val="20"/>
        </w:rPr>
        <w:t xml:space="preserve"> </w:t>
      </w:r>
    </w:p>
    <w:p w:rsidR="00014E27" w:rsidRPr="00A52285" w:rsidRDefault="00014E27" w:rsidP="009072A9">
      <w:pPr>
        <w:autoSpaceDE w:val="0"/>
        <w:autoSpaceDN w:val="0"/>
        <w:adjustRightInd w:val="0"/>
        <w:rPr>
          <w:rFonts w:eastAsia="Times New Roman" w:cs="Verdana,Italic"/>
          <w:iCs/>
          <w:color w:val="FF0000"/>
          <w:sz w:val="20"/>
          <w:szCs w:val="20"/>
        </w:rPr>
      </w:pPr>
    </w:p>
    <w:p w:rsidR="009072A9" w:rsidRPr="00A52285" w:rsidRDefault="009072A9" w:rsidP="009072A9">
      <w:pPr>
        <w:numPr>
          <w:ilvl w:val="1"/>
          <w:numId w:val="5"/>
        </w:numPr>
        <w:autoSpaceDE w:val="0"/>
        <w:autoSpaceDN w:val="0"/>
        <w:adjustRightInd w:val="0"/>
        <w:spacing w:line="340" w:lineRule="atLeast"/>
        <w:jc w:val="left"/>
        <w:rPr>
          <w:rFonts w:eastAsia="Times New Roman" w:cs="Verdana,Italic"/>
          <w:b/>
          <w:bCs/>
          <w:iCs/>
          <w:color w:val="000000"/>
          <w:sz w:val="20"/>
          <w:szCs w:val="20"/>
        </w:rPr>
      </w:pPr>
      <w:r w:rsidRPr="00A52285">
        <w:rPr>
          <w:rFonts w:eastAsia="Times New Roman" w:cs="Verdana,Italic"/>
          <w:b/>
          <w:bCs/>
          <w:iCs/>
          <w:color w:val="000000"/>
          <w:sz w:val="20"/>
          <w:szCs w:val="20"/>
        </w:rPr>
        <w:t>Épargne</w:t>
      </w:r>
    </w:p>
    <w:p w:rsidR="009072A9" w:rsidRPr="00A52285" w:rsidRDefault="009072A9" w:rsidP="009072A9">
      <w:pPr>
        <w:autoSpaceDE w:val="0"/>
        <w:autoSpaceDN w:val="0"/>
        <w:adjustRightInd w:val="0"/>
        <w:rPr>
          <w:rFonts w:eastAsia="Times New Roman" w:cs="Verdana,Italic"/>
          <w:bCs/>
          <w:iCs/>
          <w:color w:val="FF0000"/>
          <w:sz w:val="20"/>
          <w:szCs w:val="20"/>
        </w:rPr>
      </w:pPr>
    </w:p>
    <w:p w:rsidR="009072A9" w:rsidRPr="001C76F4" w:rsidRDefault="00FB3C6C" w:rsidP="009072A9">
      <w:pPr>
        <w:autoSpaceDE w:val="0"/>
        <w:autoSpaceDN w:val="0"/>
        <w:adjustRightInd w:val="0"/>
        <w:rPr>
          <w:rFonts w:cs="Verdana"/>
          <w:sz w:val="20"/>
          <w:szCs w:val="20"/>
        </w:rPr>
      </w:pPr>
      <w:r>
        <w:rPr>
          <w:rFonts w:cs="Verdana"/>
          <w:sz w:val="20"/>
          <w:szCs w:val="20"/>
        </w:rPr>
        <w:t xml:space="preserve">Au 30 septembre 2014, l’encours d’épargne s’élève à 213 milliards d’euros. </w:t>
      </w:r>
      <w:r w:rsidR="009072A9" w:rsidRPr="00E3377C">
        <w:rPr>
          <w:rFonts w:cs="Verdana"/>
          <w:sz w:val="20"/>
          <w:szCs w:val="20"/>
        </w:rPr>
        <w:t xml:space="preserve">L’encours d’épargne </w:t>
      </w:r>
      <w:r w:rsidR="009F3491" w:rsidRPr="00E3377C">
        <w:rPr>
          <w:rFonts w:cs="Verdana"/>
          <w:sz w:val="20"/>
          <w:szCs w:val="20"/>
        </w:rPr>
        <w:t xml:space="preserve">de bilan </w:t>
      </w:r>
      <w:r w:rsidR="009072A9" w:rsidRPr="00E3377C">
        <w:rPr>
          <w:rFonts w:cs="Verdana"/>
          <w:sz w:val="20"/>
          <w:szCs w:val="20"/>
        </w:rPr>
        <w:t xml:space="preserve">(hors épargne centralisée) </w:t>
      </w:r>
      <w:r w:rsidR="009F3491" w:rsidRPr="00E3377C">
        <w:rPr>
          <w:rFonts w:cs="Verdana"/>
          <w:sz w:val="20"/>
          <w:szCs w:val="20"/>
        </w:rPr>
        <w:t>s’inscrit en hausse de 3,8</w:t>
      </w:r>
      <w:r w:rsidR="0087198F">
        <w:rPr>
          <w:rFonts w:cs="Verdana"/>
          <w:sz w:val="20"/>
          <w:szCs w:val="20"/>
        </w:rPr>
        <w:t> </w:t>
      </w:r>
      <w:r w:rsidR="009F3491" w:rsidRPr="00E3377C">
        <w:rPr>
          <w:rFonts w:cs="Verdana"/>
          <w:sz w:val="20"/>
          <w:szCs w:val="20"/>
        </w:rPr>
        <w:t>%</w:t>
      </w:r>
      <w:r>
        <w:rPr>
          <w:rFonts w:cs="Verdana"/>
          <w:sz w:val="20"/>
          <w:szCs w:val="20"/>
        </w:rPr>
        <w:t xml:space="preserve"> sur un an</w:t>
      </w:r>
      <w:r w:rsidR="009F3491" w:rsidRPr="00E3377C">
        <w:rPr>
          <w:rFonts w:cs="Verdana"/>
          <w:sz w:val="20"/>
          <w:szCs w:val="20"/>
        </w:rPr>
        <w:t xml:space="preserve">. L’épargne de bilan (y compris épargne centralisée) </w:t>
      </w:r>
      <w:r w:rsidR="001C76F4" w:rsidRPr="00E3377C">
        <w:rPr>
          <w:rFonts w:cs="Verdana"/>
          <w:sz w:val="20"/>
          <w:szCs w:val="20"/>
        </w:rPr>
        <w:t xml:space="preserve">s’accroît </w:t>
      </w:r>
      <w:r w:rsidR="009F3491" w:rsidRPr="00E3377C">
        <w:rPr>
          <w:rFonts w:cs="Verdana"/>
          <w:sz w:val="20"/>
          <w:szCs w:val="20"/>
        </w:rPr>
        <w:t>de 4,2</w:t>
      </w:r>
      <w:r w:rsidR="0087198F">
        <w:rPr>
          <w:rFonts w:cs="Verdana"/>
          <w:sz w:val="20"/>
          <w:szCs w:val="20"/>
        </w:rPr>
        <w:t> </w:t>
      </w:r>
      <w:r w:rsidR="009F3491" w:rsidRPr="00E3377C">
        <w:rPr>
          <w:rFonts w:cs="Verdana"/>
          <w:sz w:val="20"/>
          <w:szCs w:val="20"/>
        </w:rPr>
        <w:t>%, avec</w:t>
      </w:r>
      <w:r w:rsidR="001C76F4" w:rsidRPr="00E3377C">
        <w:rPr>
          <w:rFonts w:cs="Verdana"/>
          <w:sz w:val="20"/>
          <w:szCs w:val="20"/>
        </w:rPr>
        <w:t>,</w:t>
      </w:r>
      <w:r w:rsidR="009F3491" w:rsidRPr="00E3377C">
        <w:rPr>
          <w:rFonts w:cs="Verdana"/>
          <w:sz w:val="20"/>
          <w:szCs w:val="20"/>
        </w:rPr>
        <w:t xml:space="preserve"> notamment</w:t>
      </w:r>
      <w:r w:rsidR="001C76F4" w:rsidRPr="00E3377C">
        <w:rPr>
          <w:rFonts w:cs="Verdana"/>
          <w:sz w:val="20"/>
          <w:szCs w:val="20"/>
        </w:rPr>
        <w:t>,</w:t>
      </w:r>
      <w:r w:rsidR="009F3491" w:rsidRPr="00E3377C">
        <w:rPr>
          <w:rFonts w:cs="Verdana"/>
          <w:sz w:val="20"/>
          <w:szCs w:val="20"/>
        </w:rPr>
        <w:t xml:space="preserve"> la hausse</w:t>
      </w:r>
      <w:r w:rsidR="00EE0C96">
        <w:rPr>
          <w:rFonts w:cs="Verdana"/>
          <w:sz w:val="20"/>
          <w:szCs w:val="20"/>
        </w:rPr>
        <w:t xml:space="preserve"> de l’encours </w:t>
      </w:r>
      <w:r w:rsidR="009F3491" w:rsidRPr="00E3377C">
        <w:rPr>
          <w:rFonts w:cs="Verdana"/>
          <w:sz w:val="20"/>
          <w:szCs w:val="20"/>
        </w:rPr>
        <w:t>des dépôts à vue (+ 8,3 %), des PEL (+</w:t>
      </w:r>
      <w:r w:rsidR="0087198F">
        <w:rPr>
          <w:rFonts w:cs="Verdana"/>
          <w:sz w:val="20"/>
          <w:szCs w:val="20"/>
        </w:rPr>
        <w:t> </w:t>
      </w:r>
      <w:r w:rsidR="009F3491" w:rsidRPr="00E3377C">
        <w:rPr>
          <w:rFonts w:cs="Verdana"/>
          <w:sz w:val="20"/>
          <w:szCs w:val="20"/>
        </w:rPr>
        <w:t>5,6 %), et des comptes à terme (+ 8,2 %).</w:t>
      </w:r>
      <w:r w:rsidR="00081BDB">
        <w:rPr>
          <w:rFonts w:cs="Verdana"/>
          <w:sz w:val="20"/>
          <w:szCs w:val="20"/>
        </w:rPr>
        <w:t xml:space="preserve"> </w:t>
      </w:r>
      <w:r w:rsidR="009072A9" w:rsidRPr="00E3377C">
        <w:rPr>
          <w:rFonts w:cs="Verdana"/>
          <w:sz w:val="20"/>
          <w:szCs w:val="20"/>
        </w:rPr>
        <w:t xml:space="preserve">En parallèle, </w:t>
      </w:r>
      <w:r w:rsidR="008269CE">
        <w:rPr>
          <w:rFonts w:cs="Verdana"/>
          <w:sz w:val="20"/>
          <w:szCs w:val="20"/>
        </w:rPr>
        <w:t>l’</w:t>
      </w:r>
      <w:r w:rsidR="009072A9" w:rsidRPr="00E3377C">
        <w:rPr>
          <w:rFonts w:cs="Verdana"/>
          <w:sz w:val="20"/>
          <w:szCs w:val="20"/>
        </w:rPr>
        <w:t>encour</w:t>
      </w:r>
      <w:r w:rsidR="008269CE">
        <w:rPr>
          <w:rFonts w:cs="Verdana"/>
          <w:sz w:val="20"/>
          <w:szCs w:val="20"/>
        </w:rPr>
        <w:t>s d’épargne financière affiche</w:t>
      </w:r>
      <w:r w:rsidR="009072A9" w:rsidRPr="00E3377C">
        <w:rPr>
          <w:rFonts w:cs="Verdana"/>
          <w:sz w:val="20"/>
          <w:szCs w:val="20"/>
        </w:rPr>
        <w:t xml:space="preserve"> une progression de 5,4</w:t>
      </w:r>
      <w:r w:rsidR="0087198F">
        <w:rPr>
          <w:rFonts w:cs="Verdana"/>
          <w:sz w:val="20"/>
          <w:szCs w:val="20"/>
        </w:rPr>
        <w:t> </w:t>
      </w:r>
      <w:r w:rsidR="00F8534B" w:rsidRPr="00E3377C">
        <w:rPr>
          <w:rFonts w:cs="Verdana"/>
          <w:sz w:val="20"/>
          <w:szCs w:val="20"/>
        </w:rPr>
        <w:t>% sur</w:t>
      </w:r>
      <w:r w:rsidR="009072A9" w:rsidRPr="00E3377C">
        <w:rPr>
          <w:rFonts w:cs="Verdana"/>
          <w:sz w:val="20"/>
          <w:szCs w:val="20"/>
        </w:rPr>
        <w:t xml:space="preserve"> un an, bénéficiant</w:t>
      </w:r>
      <w:r w:rsidR="009072A9">
        <w:rPr>
          <w:rFonts w:cs="Verdana"/>
          <w:sz w:val="20"/>
          <w:szCs w:val="20"/>
        </w:rPr>
        <w:t xml:space="preserve"> de la</w:t>
      </w:r>
      <w:r w:rsidR="009072A9" w:rsidRPr="00D63B45">
        <w:rPr>
          <w:rFonts w:cs="Verdana"/>
          <w:sz w:val="20"/>
          <w:szCs w:val="20"/>
        </w:rPr>
        <w:t xml:space="preserve"> co</w:t>
      </w:r>
      <w:r w:rsidR="009072A9">
        <w:rPr>
          <w:rFonts w:cs="Verdana"/>
          <w:sz w:val="20"/>
          <w:szCs w:val="20"/>
        </w:rPr>
        <w:t>ntribution de l’</w:t>
      </w:r>
      <w:r w:rsidR="009072A9" w:rsidRPr="00D63B45">
        <w:rPr>
          <w:rFonts w:cs="Verdana"/>
          <w:sz w:val="20"/>
          <w:szCs w:val="20"/>
        </w:rPr>
        <w:t xml:space="preserve">assurance vie </w:t>
      </w:r>
      <w:r w:rsidR="0087198F">
        <w:rPr>
          <w:rFonts w:cs="Verdana"/>
          <w:sz w:val="20"/>
          <w:szCs w:val="20"/>
        </w:rPr>
        <w:t>(+ </w:t>
      </w:r>
      <w:r w:rsidR="009072A9" w:rsidRPr="003F0E89">
        <w:rPr>
          <w:rFonts w:cs="Verdana"/>
          <w:sz w:val="20"/>
          <w:szCs w:val="20"/>
        </w:rPr>
        <w:t>10,0</w:t>
      </w:r>
      <w:r w:rsidR="0087198F">
        <w:rPr>
          <w:rFonts w:cs="Verdana"/>
          <w:sz w:val="20"/>
          <w:szCs w:val="20"/>
        </w:rPr>
        <w:t> </w:t>
      </w:r>
      <w:r w:rsidR="009072A9" w:rsidRPr="00D63B45">
        <w:rPr>
          <w:rFonts w:cs="Verdana"/>
          <w:sz w:val="20"/>
          <w:szCs w:val="20"/>
        </w:rPr>
        <w:t>%</w:t>
      </w:r>
      <w:r w:rsidR="009072A9">
        <w:rPr>
          <w:rFonts w:cs="Verdana"/>
          <w:sz w:val="20"/>
          <w:szCs w:val="20"/>
        </w:rPr>
        <w:t xml:space="preserve"> de collecte brute</w:t>
      </w:r>
      <w:r w:rsidR="009072A9" w:rsidRPr="00D63B45">
        <w:rPr>
          <w:rFonts w:cs="Verdana"/>
          <w:sz w:val="20"/>
          <w:szCs w:val="20"/>
        </w:rPr>
        <w:t>).</w:t>
      </w:r>
    </w:p>
    <w:p w:rsidR="009072A9" w:rsidRPr="00A52285" w:rsidRDefault="009072A9" w:rsidP="009072A9">
      <w:pPr>
        <w:autoSpaceDE w:val="0"/>
        <w:autoSpaceDN w:val="0"/>
        <w:adjustRightInd w:val="0"/>
        <w:rPr>
          <w:rFonts w:eastAsia="Times New Roman" w:cs="Verdana,Italic"/>
          <w:b/>
          <w:bCs/>
          <w:iCs/>
          <w:color w:val="FF0000"/>
          <w:sz w:val="20"/>
          <w:szCs w:val="20"/>
        </w:rPr>
      </w:pPr>
    </w:p>
    <w:p w:rsidR="009072A9" w:rsidRPr="00A52285" w:rsidRDefault="009072A9" w:rsidP="009072A9">
      <w:pPr>
        <w:numPr>
          <w:ilvl w:val="1"/>
          <w:numId w:val="5"/>
        </w:numPr>
        <w:autoSpaceDE w:val="0"/>
        <w:autoSpaceDN w:val="0"/>
        <w:adjustRightInd w:val="0"/>
        <w:spacing w:line="340" w:lineRule="atLeast"/>
        <w:jc w:val="left"/>
        <w:rPr>
          <w:rFonts w:eastAsia="Times New Roman" w:cs="Verdana,Italic"/>
          <w:b/>
          <w:bCs/>
          <w:iCs/>
          <w:color w:val="000000"/>
          <w:sz w:val="20"/>
          <w:szCs w:val="20"/>
        </w:rPr>
      </w:pPr>
      <w:r w:rsidRPr="00A52285">
        <w:rPr>
          <w:rFonts w:eastAsia="Times New Roman" w:cs="Verdana,Italic"/>
          <w:b/>
          <w:bCs/>
          <w:iCs/>
          <w:color w:val="000000"/>
          <w:sz w:val="20"/>
          <w:szCs w:val="20"/>
        </w:rPr>
        <w:t>Crédits</w:t>
      </w:r>
    </w:p>
    <w:p w:rsidR="009072A9" w:rsidRPr="00A52285" w:rsidRDefault="009072A9" w:rsidP="009072A9">
      <w:pPr>
        <w:autoSpaceDE w:val="0"/>
        <w:autoSpaceDN w:val="0"/>
        <w:adjustRightInd w:val="0"/>
        <w:rPr>
          <w:rFonts w:eastAsia="Times New Roman" w:cs="Verdana,Italic"/>
          <w:bCs/>
          <w:iCs/>
          <w:color w:val="FF0000"/>
          <w:sz w:val="20"/>
          <w:szCs w:val="20"/>
        </w:rPr>
      </w:pPr>
    </w:p>
    <w:p w:rsidR="009072A9" w:rsidRPr="004C63D8" w:rsidRDefault="009072A9" w:rsidP="009072A9">
      <w:pPr>
        <w:autoSpaceDE w:val="0"/>
        <w:autoSpaceDN w:val="0"/>
        <w:adjustRightInd w:val="0"/>
        <w:rPr>
          <w:rFonts w:eastAsia="Times New Roman" w:cs="Verdana,Italic"/>
          <w:bCs/>
          <w:iCs/>
          <w:sz w:val="20"/>
          <w:szCs w:val="20"/>
        </w:rPr>
      </w:pPr>
      <w:r w:rsidRPr="00D63B45">
        <w:rPr>
          <w:rFonts w:cs="Verdana"/>
          <w:sz w:val="20"/>
          <w:szCs w:val="20"/>
        </w:rPr>
        <w:t>Les encours de crédits s’établissent à 167</w:t>
      </w:r>
      <w:r w:rsidR="0087198F">
        <w:rPr>
          <w:rFonts w:cs="Verdana"/>
          <w:sz w:val="20"/>
          <w:szCs w:val="20"/>
        </w:rPr>
        <w:t> </w:t>
      </w:r>
      <w:r w:rsidRPr="003231C4">
        <w:rPr>
          <w:rFonts w:cs="Verdana"/>
          <w:sz w:val="20"/>
          <w:szCs w:val="20"/>
        </w:rPr>
        <w:t xml:space="preserve">milliards d’euros à fin septembre 2014, en </w:t>
      </w:r>
      <w:r>
        <w:rPr>
          <w:rFonts w:cs="Verdana"/>
          <w:sz w:val="20"/>
          <w:szCs w:val="20"/>
        </w:rPr>
        <w:t xml:space="preserve">hausse </w:t>
      </w:r>
      <w:r w:rsidRPr="003231C4">
        <w:rPr>
          <w:rFonts w:cs="Verdana"/>
          <w:sz w:val="20"/>
          <w:szCs w:val="20"/>
        </w:rPr>
        <w:t>de 1,6 % sur un an. Les encours de crédits imm</w:t>
      </w:r>
      <w:r w:rsidR="00F8534B">
        <w:rPr>
          <w:rFonts w:cs="Verdana"/>
          <w:sz w:val="20"/>
          <w:szCs w:val="20"/>
        </w:rPr>
        <w:t>obiliers progressent de 4,4 % sur</w:t>
      </w:r>
      <w:r w:rsidR="00027C41">
        <w:rPr>
          <w:rFonts w:cs="Verdana"/>
          <w:sz w:val="20"/>
          <w:szCs w:val="20"/>
        </w:rPr>
        <w:t xml:space="preserve"> un an </w:t>
      </w:r>
      <w:r w:rsidR="00711CAE">
        <w:rPr>
          <w:rFonts w:cs="Verdana"/>
          <w:sz w:val="20"/>
          <w:szCs w:val="20"/>
        </w:rPr>
        <w:t>contre 6,4 % sur un an au 30 juin 2014, compte tenu d</w:t>
      </w:r>
      <w:r w:rsidR="00027C41">
        <w:rPr>
          <w:rFonts w:cs="Verdana"/>
          <w:sz w:val="20"/>
          <w:szCs w:val="20"/>
        </w:rPr>
        <w:t>u ralentissement de la production par rapport à une année 2013 exceptionnelle</w:t>
      </w:r>
      <w:r w:rsidR="0087198F">
        <w:rPr>
          <w:rFonts w:cs="Verdana"/>
          <w:sz w:val="20"/>
          <w:szCs w:val="20"/>
        </w:rPr>
        <w:t>. La </w:t>
      </w:r>
      <w:r w:rsidRPr="00E3377C">
        <w:rPr>
          <w:rFonts w:cs="Verdana"/>
          <w:sz w:val="20"/>
          <w:szCs w:val="20"/>
        </w:rPr>
        <w:t>dynamique du crédit à la consommation perdure avec une production en hausse de 10,</w:t>
      </w:r>
      <w:r w:rsidR="00B040EA">
        <w:rPr>
          <w:rFonts w:cs="Verdana"/>
          <w:sz w:val="20"/>
          <w:szCs w:val="20"/>
        </w:rPr>
        <w:t>6</w:t>
      </w:r>
      <w:r w:rsidR="0087198F" w:rsidRPr="0087198F">
        <w:rPr>
          <w:rFonts w:cs="Verdana"/>
          <w:color w:val="000000" w:themeColor="text1"/>
          <w:sz w:val="20"/>
          <w:szCs w:val="20"/>
        </w:rPr>
        <w:t> </w:t>
      </w:r>
      <w:r w:rsidRPr="00E3377C">
        <w:rPr>
          <w:rFonts w:cs="Verdana"/>
          <w:sz w:val="20"/>
          <w:szCs w:val="20"/>
        </w:rPr>
        <w:t>% par</w:t>
      </w:r>
      <w:r w:rsidRPr="004C63D8">
        <w:rPr>
          <w:rFonts w:cs="Verdana"/>
          <w:sz w:val="20"/>
          <w:szCs w:val="20"/>
        </w:rPr>
        <w:t xml:space="preserve"> rapport à fin septembre 2013. Enfin, dans un contexte économique peu porteur, l</w:t>
      </w:r>
      <w:r>
        <w:rPr>
          <w:rFonts w:cs="Verdana"/>
          <w:sz w:val="20"/>
          <w:szCs w:val="20"/>
        </w:rPr>
        <w:t xml:space="preserve">es crédits aux entreprises affichent </w:t>
      </w:r>
      <w:r w:rsidRPr="004C63D8">
        <w:rPr>
          <w:rFonts w:cs="Verdana"/>
          <w:sz w:val="20"/>
          <w:szCs w:val="20"/>
        </w:rPr>
        <w:t>une bonne résistance.</w:t>
      </w:r>
    </w:p>
    <w:p w:rsidR="009072A9" w:rsidRPr="00A52285" w:rsidRDefault="009072A9" w:rsidP="009072A9">
      <w:pPr>
        <w:autoSpaceDE w:val="0"/>
        <w:autoSpaceDN w:val="0"/>
        <w:adjustRightInd w:val="0"/>
        <w:rPr>
          <w:rFonts w:eastAsia="Times New Roman" w:cs="Verdana,Italic"/>
          <w:bCs/>
          <w:iCs/>
          <w:color w:val="FF0000"/>
          <w:sz w:val="20"/>
          <w:szCs w:val="20"/>
        </w:rPr>
      </w:pPr>
    </w:p>
    <w:p w:rsidR="009072A9" w:rsidRPr="00A52285" w:rsidRDefault="009072A9" w:rsidP="009072A9">
      <w:pPr>
        <w:numPr>
          <w:ilvl w:val="1"/>
          <w:numId w:val="5"/>
        </w:numPr>
        <w:autoSpaceDE w:val="0"/>
        <w:autoSpaceDN w:val="0"/>
        <w:adjustRightInd w:val="0"/>
        <w:spacing w:line="340" w:lineRule="atLeast"/>
        <w:jc w:val="left"/>
        <w:rPr>
          <w:rFonts w:eastAsia="Times New Roman" w:cs="Verdana,Italic"/>
          <w:b/>
          <w:bCs/>
          <w:iCs/>
          <w:color w:val="000000"/>
          <w:sz w:val="20"/>
          <w:szCs w:val="20"/>
        </w:rPr>
      </w:pPr>
      <w:r w:rsidRPr="00A52285">
        <w:rPr>
          <w:rFonts w:eastAsia="Times New Roman" w:cs="Verdana,Italic"/>
          <w:b/>
          <w:bCs/>
          <w:iCs/>
          <w:color w:val="000000"/>
          <w:sz w:val="20"/>
          <w:szCs w:val="20"/>
        </w:rPr>
        <w:t>Bancassurance</w:t>
      </w:r>
    </w:p>
    <w:p w:rsidR="009072A9" w:rsidRPr="00A52285" w:rsidRDefault="009072A9" w:rsidP="009072A9">
      <w:pPr>
        <w:autoSpaceDE w:val="0"/>
        <w:autoSpaceDN w:val="0"/>
        <w:adjustRightInd w:val="0"/>
        <w:ind w:left="1440"/>
        <w:rPr>
          <w:rFonts w:eastAsia="Times New Roman" w:cs="Verdana,Italic"/>
          <w:b/>
          <w:bCs/>
          <w:iCs/>
          <w:color w:val="FF0000"/>
          <w:sz w:val="20"/>
          <w:szCs w:val="20"/>
        </w:rPr>
      </w:pPr>
    </w:p>
    <w:p w:rsidR="009072A9" w:rsidRPr="00EE5244" w:rsidRDefault="009072A9" w:rsidP="009072A9">
      <w:pPr>
        <w:autoSpaceDE w:val="0"/>
        <w:autoSpaceDN w:val="0"/>
        <w:adjustRightInd w:val="0"/>
        <w:rPr>
          <w:rFonts w:eastAsia="Times New Roman" w:cs="Verdana,Italic"/>
          <w:bCs/>
          <w:iCs/>
          <w:sz w:val="20"/>
          <w:szCs w:val="20"/>
        </w:rPr>
      </w:pPr>
      <w:r w:rsidRPr="00EE5244">
        <w:rPr>
          <w:rFonts w:eastAsia="Times New Roman" w:cs="Verdana,Italic"/>
          <w:bCs/>
          <w:iCs/>
          <w:sz w:val="20"/>
          <w:szCs w:val="20"/>
        </w:rPr>
        <w:t>Le portefeuille de contrats de prévoyance, dommage</w:t>
      </w:r>
      <w:r w:rsidR="00711CAE">
        <w:rPr>
          <w:rFonts w:eastAsia="Times New Roman" w:cs="Verdana,Italic"/>
          <w:bCs/>
          <w:iCs/>
          <w:sz w:val="20"/>
          <w:szCs w:val="20"/>
        </w:rPr>
        <w:t>s</w:t>
      </w:r>
      <w:r w:rsidRPr="00EE5244">
        <w:rPr>
          <w:rFonts w:eastAsia="Times New Roman" w:cs="Verdana,Italic"/>
          <w:bCs/>
          <w:iCs/>
          <w:sz w:val="20"/>
          <w:szCs w:val="20"/>
        </w:rPr>
        <w:t xml:space="preserve"> et santé progresse de</w:t>
      </w:r>
      <w:r w:rsidR="009529A7">
        <w:rPr>
          <w:rFonts w:eastAsia="Times New Roman" w:cs="Verdana,Italic"/>
          <w:bCs/>
          <w:iCs/>
          <w:sz w:val="20"/>
          <w:szCs w:val="20"/>
        </w:rPr>
        <w:t xml:space="preserve"> 6</w:t>
      </w:r>
      <w:r w:rsidRPr="00EE5244">
        <w:rPr>
          <w:rFonts w:eastAsia="Times New Roman" w:cs="Verdana,Italic"/>
          <w:bCs/>
          <w:iCs/>
          <w:sz w:val="20"/>
          <w:szCs w:val="20"/>
        </w:rPr>
        <w:t>,</w:t>
      </w:r>
      <w:r w:rsidR="009529A7">
        <w:rPr>
          <w:rFonts w:eastAsia="Times New Roman" w:cs="Verdana,Italic"/>
          <w:bCs/>
          <w:iCs/>
          <w:sz w:val="20"/>
          <w:szCs w:val="20"/>
        </w:rPr>
        <w:t>9</w:t>
      </w:r>
      <w:r w:rsidRPr="00EE5244">
        <w:rPr>
          <w:rFonts w:eastAsia="Times New Roman" w:cs="Verdana,Italic"/>
          <w:bCs/>
          <w:iCs/>
          <w:sz w:val="20"/>
          <w:szCs w:val="20"/>
        </w:rPr>
        <w:t> % sur un an.</w:t>
      </w:r>
    </w:p>
    <w:p w:rsidR="009072A9" w:rsidRPr="00A52285" w:rsidRDefault="009072A9" w:rsidP="009072A9">
      <w:pPr>
        <w:autoSpaceDE w:val="0"/>
        <w:autoSpaceDN w:val="0"/>
        <w:adjustRightInd w:val="0"/>
        <w:rPr>
          <w:rFonts w:eastAsia="Times New Roman" w:cs="Verdana,Italic"/>
          <w:iCs/>
          <w:color w:val="FF0000"/>
          <w:sz w:val="20"/>
          <w:szCs w:val="20"/>
        </w:rPr>
      </w:pPr>
    </w:p>
    <w:p w:rsidR="009072A9" w:rsidRPr="00A52285" w:rsidRDefault="009072A9" w:rsidP="009072A9">
      <w:pPr>
        <w:numPr>
          <w:ilvl w:val="1"/>
          <w:numId w:val="5"/>
        </w:numPr>
        <w:autoSpaceDE w:val="0"/>
        <w:autoSpaceDN w:val="0"/>
        <w:adjustRightInd w:val="0"/>
        <w:spacing w:line="340" w:lineRule="atLeast"/>
        <w:jc w:val="left"/>
        <w:rPr>
          <w:rFonts w:eastAsia="Times New Roman" w:cs="Verdana,Italic"/>
          <w:b/>
          <w:bCs/>
          <w:iCs/>
          <w:color w:val="000000"/>
          <w:sz w:val="20"/>
          <w:szCs w:val="20"/>
        </w:rPr>
      </w:pPr>
      <w:r w:rsidRPr="00A52285">
        <w:rPr>
          <w:rFonts w:eastAsia="Times New Roman" w:cs="Verdana,Italic"/>
          <w:b/>
          <w:bCs/>
          <w:iCs/>
          <w:color w:val="000000"/>
          <w:sz w:val="20"/>
          <w:szCs w:val="20"/>
        </w:rPr>
        <w:t>Résultats financiers</w:t>
      </w:r>
      <w:bookmarkStart w:id="11" w:name="_Ref402603251"/>
      <w:r w:rsidR="00763446">
        <w:rPr>
          <w:rStyle w:val="Appelnotedebasdep"/>
          <w:rFonts w:eastAsia="Times New Roman" w:cs="Verdana,Italic"/>
          <w:b/>
          <w:bCs/>
          <w:iCs/>
          <w:color w:val="000000"/>
          <w:sz w:val="20"/>
          <w:szCs w:val="20"/>
        </w:rPr>
        <w:footnoteReference w:id="18"/>
      </w:r>
      <w:bookmarkEnd w:id="11"/>
    </w:p>
    <w:p w:rsidR="009072A9" w:rsidRPr="00A52285" w:rsidRDefault="009072A9" w:rsidP="009072A9">
      <w:pPr>
        <w:autoSpaceDE w:val="0"/>
        <w:autoSpaceDN w:val="0"/>
        <w:adjustRightInd w:val="0"/>
        <w:rPr>
          <w:rFonts w:eastAsia="Times New Roman" w:cs="Verdana,Italic"/>
          <w:iCs/>
          <w:color w:val="FF0000"/>
          <w:sz w:val="20"/>
          <w:szCs w:val="20"/>
        </w:rPr>
      </w:pPr>
    </w:p>
    <w:p w:rsidR="009072A9" w:rsidRPr="004005B2" w:rsidRDefault="009072A9" w:rsidP="009072A9">
      <w:pPr>
        <w:autoSpaceDE w:val="0"/>
        <w:autoSpaceDN w:val="0"/>
        <w:adjustRightInd w:val="0"/>
        <w:rPr>
          <w:rFonts w:eastAsia="Times New Roman" w:cs="Verdana,Italic"/>
          <w:iCs/>
          <w:sz w:val="20"/>
          <w:szCs w:val="20"/>
        </w:rPr>
      </w:pPr>
      <w:r w:rsidRPr="006161B8">
        <w:rPr>
          <w:rFonts w:eastAsia="Times New Roman" w:cs="Verdana,Italic"/>
          <w:iCs/>
          <w:sz w:val="20"/>
          <w:szCs w:val="20"/>
        </w:rPr>
        <w:t>Le</w:t>
      </w:r>
      <w:r w:rsidRPr="006161B8">
        <w:rPr>
          <w:rFonts w:eastAsia="Times New Roman" w:cs="Verdana,Italic"/>
          <w:b/>
          <w:iCs/>
          <w:sz w:val="20"/>
          <w:szCs w:val="20"/>
        </w:rPr>
        <w:t xml:space="preserve"> produit net bancaire</w:t>
      </w:r>
      <w:r w:rsidRPr="006161B8">
        <w:rPr>
          <w:rFonts w:eastAsia="Times New Roman" w:cs="Verdana,Italic"/>
          <w:iCs/>
          <w:sz w:val="20"/>
          <w:szCs w:val="20"/>
        </w:rPr>
        <w:t xml:space="preserve"> </w:t>
      </w:r>
      <w:r>
        <w:rPr>
          <w:rFonts w:eastAsia="Times New Roman" w:cs="Verdana,Italic"/>
          <w:iCs/>
          <w:sz w:val="20"/>
          <w:szCs w:val="20"/>
        </w:rPr>
        <w:t xml:space="preserve">du trimestre </w:t>
      </w:r>
      <w:r w:rsidR="0087198F">
        <w:rPr>
          <w:rFonts w:eastAsia="Times New Roman" w:cs="Verdana,Italic"/>
          <w:iCs/>
          <w:sz w:val="20"/>
          <w:szCs w:val="20"/>
        </w:rPr>
        <w:t>s’établit à 1 </w:t>
      </w:r>
      <w:r w:rsidR="00D24D6F">
        <w:rPr>
          <w:rFonts w:eastAsia="Times New Roman" w:cs="Verdana,Italic"/>
          <w:iCs/>
          <w:sz w:val="20"/>
          <w:szCs w:val="20"/>
        </w:rPr>
        <w:t>58</w:t>
      </w:r>
      <w:r w:rsidRPr="006161B8">
        <w:rPr>
          <w:rFonts w:eastAsia="Times New Roman" w:cs="Verdana,Italic"/>
          <w:iCs/>
          <w:sz w:val="20"/>
          <w:szCs w:val="20"/>
        </w:rPr>
        <w:t>8</w:t>
      </w:r>
      <w:r w:rsidR="0087198F">
        <w:rPr>
          <w:rFonts w:eastAsia="Times New Roman" w:cs="Verdana,Italic"/>
          <w:iCs/>
          <w:sz w:val="20"/>
          <w:szCs w:val="20"/>
        </w:rPr>
        <w:t> </w:t>
      </w:r>
      <w:r w:rsidRPr="006161B8">
        <w:rPr>
          <w:rFonts w:eastAsia="Times New Roman" w:cs="Verdana,Italic"/>
          <w:iCs/>
          <w:sz w:val="20"/>
          <w:szCs w:val="20"/>
        </w:rPr>
        <w:t>millions d’euros (hors variation de la provision épargne logement</w:t>
      </w:r>
      <w:r w:rsidRPr="00214A51">
        <w:rPr>
          <w:rFonts w:eastAsia="Times New Roman" w:cs="Verdana,Italic"/>
          <w:iCs/>
          <w:sz w:val="20"/>
          <w:szCs w:val="20"/>
        </w:rPr>
        <w:t xml:space="preserve">), </w:t>
      </w:r>
      <w:r w:rsidR="00027C41">
        <w:rPr>
          <w:rFonts w:eastAsia="Times New Roman" w:cs="Verdana,Italic"/>
          <w:iCs/>
          <w:sz w:val="20"/>
          <w:szCs w:val="20"/>
        </w:rPr>
        <w:t>en</w:t>
      </w:r>
      <w:r w:rsidR="0087198F">
        <w:rPr>
          <w:rFonts w:eastAsia="Times New Roman" w:cs="Verdana,Italic"/>
          <w:iCs/>
          <w:sz w:val="20"/>
          <w:szCs w:val="20"/>
        </w:rPr>
        <w:t xml:space="preserve"> hausse de 2,2 </w:t>
      </w:r>
      <w:r w:rsidR="00162B9B" w:rsidRPr="00E3377C">
        <w:rPr>
          <w:rFonts w:eastAsia="Times New Roman" w:cs="Verdana,Italic"/>
          <w:iCs/>
          <w:sz w:val="20"/>
          <w:szCs w:val="20"/>
        </w:rPr>
        <w:t xml:space="preserve">% </w:t>
      </w:r>
      <w:r w:rsidRPr="00E3377C">
        <w:rPr>
          <w:rFonts w:eastAsia="Times New Roman" w:cs="Verdana,Italic"/>
          <w:iCs/>
          <w:sz w:val="20"/>
          <w:szCs w:val="20"/>
        </w:rPr>
        <w:t>par rapport</w:t>
      </w:r>
      <w:r w:rsidR="00027C41">
        <w:rPr>
          <w:rFonts w:eastAsia="Times New Roman" w:cs="Verdana,Italic"/>
          <w:iCs/>
          <w:sz w:val="20"/>
          <w:szCs w:val="20"/>
        </w:rPr>
        <w:t xml:space="preserve"> au troisième trimestre </w:t>
      </w:r>
      <w:r w:rsidRPr="00214A51">
        <w:rPr>
          <w:rFonts w:eastAsia="Times New Roman" w:cs="Verdana,Italic"/>
          <w:iCs/>
          <w:sz w:val="20"/>
          <w:szCs w:val="20"/>
        </w:rPr>
        <w:t>2013.</w:t>
      </w:r>
      <w:r w:rsidR="00027C41">
        <w:rPr>
          <w:rFonts w:eastAsia="Times New Roman" w:cs="Verdana,Italic"/>
          <w:iCs/>
          <w:sz w:val="20"/>
          <w:szCs w:val="20"/>
        </w:rPr>
        <w:t xml:space="preserve"> Cette évolution procède d’une hausse de 1,1</w:t>
      </w:r>
      <w:r w:rsidR="0087198F">
        <w:rPr>
          <w:rFonts w:eastAsia="Times New Roman" w:cs="Verdana,Italic"/>
          <w:iCs/>
          <w:sz w:val="20"/>
          <w:szCs w:val="20"/>
        </w:rPr>
        <w:t> </w:t>
      </w:r>
      <w:r w:rsidR="00027C41">
        <w:rPr>
          <w:rFonts w:eastAsia="Times New Roman" w:cs="Verdana,Italic"/>
          <w:iCs/>
          <w:sz w:val="20"/>
          <w:szCs w:val="20"/>
        </w:rPr>
        <w:t>%</w:t>
      </w:r>
      <w:r w:rsidR="00580069">
        <w:rPr>
          <w:rFonts w:eastAsia="Times New Roman" w:cs="Verdana,Italic"/>
          <w:iCs/>
          <w:sz w:val="20"/>
          <w:szCs w:val="20"/>
        </w:rPr>
        <w:t xml:space="preserve"> </w:t>
      </w:r>
      <w:r w:rsidR="00027C41">
        <w:rPr>
          <w:rFonts w:eastAsia="Times New Roman" w:cs="Verdana,Italic"/>
          <w:iCs/>
          <w:sz w:val="20"/>
          <w:szCs w:val="20"/>
        </w:rPr>
        <w:t xml:space="preserve">de la </w:t>
      </w:r>
      <w:r w:rsidRPr="00214A51">
        <w:rPr>
          <w:rFonts w:eastAsia="Times New Roman" w:cs="Verdana,Italic"/>
          <w:iCs/>
          <w:sz w:val="20"/>
          <w:szCs w:val="20"/>
        </w:rPr>
        <w:t xml:space="preserve">marge nette d’intérêt </w:t>
      </w:r>
      <w:r w:rsidR="00D24D6F" w:rsidRPr="006161B8">
        <w:rPr>
          <w:rFonts w:eastAsia="Times New Roman" w:cs="Verdana,Italic"/>
          <w:iCs/>
          <w:sz w:val="20"/>
          <w:szCs w:val="20"/>
        </w:rPr>
        <w:t>(hors variation de la provision épargne logement</w:t>
      </w:r>
      <w:r w:rsidR="00D24D6F" w:rsidRPr="00214A51">
        <w:rPr>
          <w:rFonts w:eastAsia="Times New Roman" w:cs="Verdana,Italic"/>
          <w:iCs/>
          <w:sz w:val="20"/>
          <w:szCs w:val="20"/>
        </w:rPr>
        <w:t>)</w:t>
      </w:r>
      <w:r w:rsidR="00D24D6F">
        <w:rPr>
          <w:rFonts w:eastAsia="Times New Roman" w:cs="Verdana,Italic"/>
          <w:iCs/>
          <w:sz w:val="20"/>
          <w:szCs w:val="20"/>
        </w:rPr>
        <w:t xml:space="preserve"> </w:t>
      </w:r>
      <w:r w:rsidR="00027C41">
        <w:rPr>
          <w:rFonts w:eastAsia="Times New Roman" w:cs="Verdana,Italic"/>
          <w:iCs/>
          <w:sz w:val="20"/>
          <w:szCs w:val="20"/>
        </w:rPr>
        <w:t>et d’un recul de 2,5 </w:t>
      </w:r>
      <w:r w:rsidR="00027C41" w:rsidRPr="00214A51">
        <w:rPr>
          <w:rFonts w:eastAsia="Times New Roman" w:cs="Verdana,Italic"/>
          <w:iCs/>
          <w:sz w:val="20"/>
          <w:szCs w:val="20"/>
        </w:rPr>
        <w:t>%</w:t>
      </w:r>
      <w:r w:rsidR="00027C41">
        <w:rPr>
          <w:rFonts w:eastAsia="Times New Roman" w:cs="Verdana,Italic"/>
          <w:iCs/>
          <w:sz w:val="20"/>
          <w:szCs w:val="20"/>
        </w:rPr>
        <w:t xml:space="preserve"> des </w:t>
      </w:r>
      <w:r w:rsidRPr="00214A51">
        <w:rPr>
          <w:rFonts w:eastAsia="Times New Roman" w:cs="Verdana,Italic"/>
          <w:iCs/>
          <w:sz w:val="20"/>
          <w:szCs w:val="20"/>
        </w:rPr>
        <w:t>commissions</w:t>
      </w:r>
      <w:r w:rsidRPr="00E3377C">
        <w:rPr>
          <w:rFonts w:eastAsia="Times New Roman" w:cs="Verdana,Italic"/>
          <w:iCs/>
          <w:sz w:val="20"/>
          <w:szCs w:val="20"/>
        </w:rPr>
        <w:t>,</w:t>
      </w:r>
      <w:r w:rsidRPr="00214A51">
        <w:rPr>
          <w:rFonts w:eastAsia="Times New Roman" w:cs="Verdana,Italic"/>
          <w:iCs/>
          <w:sz w:val="20"/>
          <w:szCs w:val="20"/>
        </w:rPr>
        <w:t xml:space="preserve"> </w:t>
      </w:r>
      <w:r>
        <w:rPr>
          <w:rFonts w:eastAsia="Times New Roman" w:cs="Verdana,Italic"/>
          <w:iCs/>
          <w:sz w:val="20"/>
          <w:szCs w:val="20"/>
        </w:rPr>
        <w:t xml:space="preserve">conséquence </w:t>
      </w:r>
      <w:r w:rsidRPr="00214A51">
        <w:rPr>
          <w:rFonts w:eastAsia="Times New Roman" w:cs="Verdana,Italic"/>
          <w:iCs/>
          <w:sz w:val="20"/>
          <w:szCs w:val="20"/>
        </w:rPr>
        <w:t xml:space="preserve">des évolutions réglementaires (plafonnement des commissions d’intervention) et d’une base de comparaison </w:t>
      </w:r>
      <w:r w:rsidR="00E3377C">
        <w:rPr>
          <w:rFonts w:eastAsia="Times New Roman" w:cs="Verdana,Italic"/>
          <w:iCs/>
          <w:sz w:val="20"/>
          <w:szCs w:val="20"/>
        </w:rPr>
        <w:t>élevée</w:t>
      </w:r>
      <w:r w:rsidR="00027C41">
        <w:rPr>
          <w:rFonts w:eastAsia="Times New Roman" w:cs="Verdana,Italic"/>
          <w:iCs/>
          <w:sz w:val="20"/>
          <w:szCs w:val="20"/>
        </w:rPr>
        <w:t>, l</w:t>
      </w:r>
      <w:r w:rsidRPr="00214A51">
        <w:rPr>
          <w:rFonts w:eastAsia="Times New Roman" w:cs="Verdana,Italic"/>
          <w:iCs/>
          <w:sz w:val="20"/>
          <w:szCs w:val="20"/>
        </w:rPr>
        <w:t>’exercic</w:t>
      </w:r>
      <w:r>
        <w:rPr>
          <w:rFonts w:eastAsia="Times New Roman" w:cs="Verdana,Italic"/>
          <w:iCs/>
          <w:sz w:val="20"/>
          <w:szCs w:val="20"/>
        </w:rPr>
        <w:t>e du troisième trimestre 2013 a</w:t>
      </w:r>
      <w:r w:rsidR="00027C41">
        <w:rPr>
          <w:rFonts w:eastAsia="Times New Roman" w:cs="Verdana,Italic"/>
          <w:iCs/>
          <w:sz w:val="20"/>
          <w:szCs w:val="20"/>
        </w:rPr>
        <w:t xml:space="preserve">yant </w:t>
      </w:r>
      <w:r w:rsidRPr="00214A51">
        <w:rPr>
          <w:rFonts w:eastAsia="Times New Roman" w:cs="Verdana,Italic"/>
          <w:iCs/>
          <w:sz w:val="20"/>
          <w:szCs w:val="20"/>
        </w:rPr>
        <w:t xml:space="preserve">bénéficié d’une forte proportion de rachats et </w:t>
      </w:r>
      <w:r w:rsidRPr="004005B2">
        <w:rPr>
          <w:rFonts w:eastAsia="Times New Roman" w:cs="Verdana,Italic"/>
          <w:iCs/>
          <w:sz w:val="20"/>
          <w:szCs w:val="20"/>
        </w:rPr>
        <w:t>de remboursements anticipés.</w:t>
      </w:r>
    </w:p>
    <w:p w:rsidR="009072A9" w:rsidRPr="004005B2" w:rsidRDefault="009072A9" w:rsidP="009072A9">
      <w:pPr>
        <w:autoSpaceDE w:val="0"/>
        <w:autoSpaceDN w:val="0"/>
        <w:adjustRightInd w:val="0"/>
        <w:rPr>
          <w:rFonts w:eastAsia="Times New Roman" w:cs="Verdana,Italic"/>
          <w:iCs/>
          <w:sz w:val="20"/>
          <w:szCs w:val="20"/>
        </w:rPr>
      </w:pPr>
    </w:p>
    <w:p w:rsidR="00027C41" w:rsidRPr="00F5139A" w:rsidRDefault="009072A9" w:rsidP="00027C41">
      <w:pPr>
        <w:autoSpaceDE w:val="0"/>
        <w:autoSpaceDN w:val="0"/>
        <w:adjustRightInd w:val="0"/>
        <w:rPr>
          <w:rFonts w:eastAsia="Times New Roman" w:cs="Verdana,Italic"/>
          <w:iCs/>
          <w:sz w:val="20"/>
          <w:szCs w:val="20"/>
        </w:rPr>
      </w:pPr>
      <w:r w:rsidRPr="004005B2">
        <w:rPr>
          <w:rFonts w:eastAsia="Times New Roman" w:cs="Verdana,Italic"/>
          <w:iCs/>
          <w:sz w:val="20"/>
          <w:szCs w:val="20"/>
        </w:rPr>
        <w:t xml:space="preserve">Les </w:t>
      </w:r>
      <w:r w:rsidRPr="004005B2">
        <w:rPr>
          <w:rFonts w:eastAsia="Times New Roman" w:cs="Verdana,Italic"/>
          <w:b/>
          <w:iCs/>
          <w:sz w:val="20"/>
          <w:szCs w:val="20"/>
        </w:rPr>
        <w:t>frais de gestion</w:t>
      </w:r>
      <w:r w:rsidR="0087198F">
        <w:rPr>
          <w:rFonts w:eastAsia="Times New Roman" w:cs="Verdana,Italic"/>
          <w:iCs/>
          <w:sz w:val="20"/>
          <w:szCs w:val="20"/>
        </w:rPr>
        <w:t>, à 1 </w:t>
      </w:r>
      <w:r w:rsidRPr="004005B2">
        <w:rPr>
          <w:rFonts w:eastAsia="Times New Roman" w:cs="Verdana,Italic"/>
          <w:iCs/>
          <w:sz w:val="20"/>
          <w:szCs w:val="20"/>
        </w:rPr>
        <w:t>0</w:t>
      </w:r>
      <w:r w:rsidR="006D277F">
        <w:rPr>
          <w:rFonts w:eastAsia="Times New Roman" w:cs="Verdana,Italic"/>
          <w:iCs/>
          <w:sz w:val="20"/>
          <w:szCs w:val="20"/>
        </w:rPr>
        <w:t>46</w:t>
      </w:r>
      <w:r w:rsidR="0087198F">
        <w:rPr>
          <w:rFonts w:eastAsia="Times New Roman" w:cs="Verdana,Italic"/>
          <w:iCs/>
          <w:sz w:val="20"/>
          <w:szCs w:val="20"/>
        </w:rPr>
        <w:t> </w:t>
      </w:r>
      <w:r w:rsidR="00682EC8">
        <w:rPr>
          <w:rFonts w:eastAsia="Times New Roman" w:cs="Verdana,Italic"/>
          <w:iCs/>
          <w:sz w:val="20"/>
          <w:szCs w:val="20"/>
        </w:rPr>
        <w:t>millions d’euros</w:t>
      </w:r>
      <w:r w:rsidR="00E3377C">
        <w:rPr>
          <w:rFonts w:eastAsia="Times New Roman" w:cs="Verdana,Italic"/>
          <w:iCs/>
          <w:sz w:val="20"/>
          <w:szCs w:val="20"/>
        </w:rPr>
        <w:t xml:space="preserve"> au troisième trimestre 2014</w:t>
      </w:r>
      <w:r w:rsidR="00682EC8">
        <w:rPr>
          <w:rFonts w:eastAsia="Times New Roman" w:cs="Verdana,Italic"/>
          <w:iCs/>
          <w:sz w:val="20"/>
          <w:szCs w:val="20"/>
        </w:rPr>
        <w:t xml:space="preserve">, </w:t>
      </w:r>
      <w:r w:rsidR="00027C41">
        <w:rPr>
          <w:rFonts w:eastAsia="Times New Roman" w:cs="Verdana,Italic"/>
          <w:iCs/>
          <w:sz w:val="20"/>
          <w:szCs w:val="20"/>
        </w:rPr>
        <w:t>augmente</w:t>
      </w:r>
      <w:r w:rsidR="00682EC8">
        <w:rPr>
          <w:rFonts w:eastAsia="Times New Roman" w:cs="Verdana,Italic"/>
          <w:iCs/>
          <w:sz w:val="20"/>
          <w:szCs w:val="20"/>
        </w:rPr>
        <w:t xml:space="preserve"> </w:t>
      </w:r>
      <w:r w:rsidR="00682EC8" w:rsidRPr="006D277F">
        <w:rPr>
          <w:rFonts w:eastAsia="Times New Roman" w:cs="Verdana,Italic"/>
          <w:iCs/>
          <w:sz w:val="20"/>
          <w:szCs w:val="20"/>
        </w:rPr>
        <w:t>de</w:t>
      </w:r>
      <w:r w:rsidR="00027C41" w:rsidRPr="006D277F">
        <w:rPr>
          <w:rFonts w:eastAsia="Times New Roman" w:cs="Verdana,Italic"/>
          <w:iCs/>
          <w:sz w:val="20"/>
          <w:szCs w:val="20"/>
        </w:rPr>
        <w:t> </w:t>
      </w:r>
      <w:r w:rsidR="00027C41" w:rsidRPr="00A9739C">
        <w:rPr>
          <w:rFonts w:eastAsia="Times New Roman" w:cs="Verdana,Italic"/>
          <w:iCs/>
          <w:sz w:val="20"/>
          <w:szCs w:val="20"/>
        </w:rPr>
        <w:t>1,</w:t>
      </w:r>
      <w:r w:rsidR="006D277F" w:rsidRPr="00A9739C">
        <w:rPr>
          <w:rFonts w:eastAsia="Times New Roman" w:cs="Verdana,Italic"/>
          <w:iCs/>
          <w:sz w:val="20"/>
          <w:szCs w:val="20"/>
        </w:rPr>
        <w:t>4</w:t>
      </w:r>
      <w:r w:rsidRPr="00A9739C">
        <w:rPr>
          <w:rFonts w:eastAsia="Times New Roman" w:cs="Verdana,Italic"/>
          <w:iCs/>
          <w:sz w:val="20"/>
          <w:szCs w:val="20"/>
        </w:rPr>
        <w:t> %</w:t>
      </w:r>
      <w:r w:rsidRPr="006D277F">
        <w:rPr>
          <w:rFonts w:eastAsia="Times New Roman" w:cs="Verdana,Italic"/>
          <w:iCs/>
          <w:sz w:val="20"/>
          <w:szCs w:val="20"/>
        </w:rPr>
        <w:t xml:space="preserve"> </w:t>
      </w:r>
      <w:r w:rsidR="00027C41" w:rsidRPr="006D277F">
        <w:rPr>
          <w:rFonts w:eastAsia="Times New Roman" w:cs="Verdana,Italic"/>
          <w:iCs/>
          <w:sz w:val="20"/>
          <w:szCs w:val="20"/>
        </w:rPr>
        <w:t>par</w:t>
      </w:r>
      <w:r w:rsidR="00027C41">
        <w:rPr>
          <w:rFonts w:eastAsia="Times New Roman" w:cs="Verdana,Italic"/>
          <w:iCs/>
          <w:sz w:val="20"/>
          <w:szCs w:val="20"/>
        </w:rPr>
        <w:t xml:space="preserve"> rapport au troisième trimestre 2013</w:t>
      </w:r>
      <w:r w:rsidR="00896F88" w:rsidRPr="006D277F">
        <w:rPr>
          <w:rFonts w:eastAsia="Times New Roman" w:cs="Verdana,Italic"/>
          <w:iCs/>
          <w:sz w:val="20"/>
          <w:szCs w:val="20"/>
        </w:rPr>
        <w:t>.</w:t>
      </w:r>
      <w:r w:rsidR="00027C41" w:rsidRPr="00A9739C">
        <w:rPr>
          <w:rFonts w:eastAsia="Times New Roman" w:cs="Verdana,Italic"/>
          <w:iCs/>
          <w:sz w:val="20"/>
          <w:szCs w:val="20"/>
        </w:rPr>
        <w:t xml:space="preserve"> </w:t>
      </w:r>
    </w:p>
    <w:p w:rsidR="009072A9" w:rsidRPr="004005B2" w:rsidRDefault="009072A9" w:rsidP="009072A9">
      <w:pPr>
        <w:autoSpaceDE w:val="0"/>
        <w:autoSpaceDN w:val="0"/>
        <w:adjustRightInd w:val="0"/>
        <w:rPr>
          <w:rFonts w:eastAsia="Times New Roman" w:cs="Verdana,Italic"/>
          <w:iCs/>
          <w:sz w:val="20"/>
          <w:szCs w:val="20"/>
        </w:rPr>
      </w:pPr>
    </w:p>
    <w:p w:rsidR="009072A9" w:rsidRPr="004005B2" w:rsidRDefault="009072A9" w:rsidP="009072A9">
      <w:pPr>
        <w:autoSpaceDE w:val="0"/>
        <w:autoSpaceDN w:val="0"/>
        <w:adjustRightInd w:val="0"/>
        <w:rPr>
          <w:rFonts w:eastAsia="Times New Roman" w:cs="Verdana,Italic"/>
          <w:iCs/>
          <w:sz w:val="20"/>
          <w:szCs w:val="20"/>
        </w:rPr>
      </w:pPr>
      <w:r w:rsidRPr="004005B2">
        <w:rPr>
          <w:rFonts w:eastAsia="Times New Roman" w:cs="Verdana,Italic"/>
          <w:iCs/>
          <w:sz w:val="20"/>
          <w:szCs w:val="20"/>
        </w:rPr>
        <w:t xml:space="preserve">Le </w:t>
      </w:r>
      <w:r w:rsidRPr="004005B2">
        <w:rPr>
          <w:rFonts w:eastAsia="Times New Roman" w:cs="Verdana,Italic"/>
          <w:b/>
          <w:iCs/>
          <w:sz w:val="20"/>
          <w:szCs w:val="20"/>
        </w:rPr>
        <w:t>résultat brut d’exploitation</w:t>
      </w:r>
      <w:r w:rsidRPr="004005B2">
        <w:rPr>
          <w:rFonts w:eastAsia="Times New Roman" w:cs="Verdana,Italic"/>
          <w:iCs/>
          <w:sz w:val="20"/>
          <w:szCs w:val="20"/>
        </w:rPr>
        <w:t xml:space="preserve"> ressort à </w:t>
      </w:r>
      <w:r w:rsidR="006D277F" w:rsidRPr="004005B2">
        <w:rPr>
          <w:rFonts w:eastAsia="Times New Roman" w:cs="Verdana,Italic"/>
          <w:iCs/>
          <w:sz w:val="20"/>
          <w:szCs w:val="20"/>
        </w:rPr>
        <w:t>5</w:t>
      </w:r>
      <w:r w:rsidR="006D277F">
        <w:rPr>
          <w:rFonts w:eastAsia="Times New Roman" w:cs="Verdana,Italic"/>
          <w:iCs/>
          <w:sz w:val="20"/>
          <w:szCs w:val="20"/>
        </w:rPr>
        <w:t>40</w:t>
      </w:r>
      <w:r w:rsidR="006D277F" w:rsidRPr="004005B2">
        <w:rPr>
          <w:rFonts w:eastAsia="Times New Roman" w:cs="Verdana,Italic"/>
          <w:iCs/>
          <w:sz w:val="20"/>
          <w:szCs w:val="20"/>
        </w:rPr>
        <w:t> </w:t>
      </w:r>
      <w:r w:rsidRPr="004005B2">
        <w:rPr>
          <w:rFonts w:eastAsia="Times New Roman" w:cs="Verdana,Italic"/>
          <w:iCs/>
          <w:sz w:val="20"/>
          <w:szCs w:val="20"/>
        </w:rPr>
        <w:t>m</w:t>
      </w:r>
      <w:r w:rsidR="00876A3D">
        <w:rPr>
          <w:rFonts w:eastAsia="Times New Roman" w:cs="Verdana,Italic"/>
          <w:iCs/>
          <w:sz w:val="20"/>
          <w:szCs w:val="20"/>
        </w:rPr>
        <w:t xml:space="preserve">illions d’euros, en hausse </w:t>
      </w:r>
      <w:r w:rsidR="00876A3D" w:rsidRPr="00E3377C">
        <w:rPr>
          <w:rFonts w:eastAsia="Times New Roman" w:cs="Verdana,Italic"/>
          <w:iCs/>
          <w:sz w:val="20"/>
          <w:szCs w:val="20"/>
        </w:rPr>
        <w:t>de 5</w:t>
      </w:r>
      <w:r w:rsidRPr="00E3377C">
        <w:rPr>
          <w:rFonts w:eastAsia="Times New Roman" w:cs="Verdana,Italic"/>
          <w:iCs/>
          <w:sz w:val="20"/>
          <w:szCs w:val="20"/>
        </w:rPr>
        <w:t> %.</w:t>
      </w:r>
    </w:p>
    <w:p w:rsidR="009072A9" w:rsidRPr="004005B2" w:rsidRDefault="009072A9" w:rsidP="009072A9">
      <w:pPr>
        <w:autoSpaceDE w:val="0"/>
        <w:autoSpaceDN w:val="0"/>
        <w:adjustRightInd w:val="0"/>
        <w:rPr>
          <w:rFonts w:eastAsia="Times New Roman" w:cs="Verdana,Italic"/>
          <w:iCs/>
          <w:sz w:val="20"/>
          <w:szCs w:val="20"/>
        </w:rPr>
      </w:pPr>
    </w:p>
    <w:p w:rsidR="009072A9" w:rsidRPr="004005B2" w:rsidRDefault="009072A9" w:rsidP="009072A9">
      <w:pPr>
        <w:autoSpaceDE w:val="0"/>
        <w:autoSpaceDN w:val="0"/>
        <w:adjustRightInd w:val="0"/>
        <w:rPr>
          <w:rFonts w:eastAsia="Times New Roman" w:cs="Verdana,Italic"/>
          <w:b/>
          <w:iCs/>
          <w:sz w:val="20"/>
          <w:szCs w:val="20"/>
        </w:rPr>
      </w:pPr>
      <w:r w:rsidRPr="004005B2">
        <w:rPr>
          <w:rFonts w:eastAsia="Times New Roman" w:cs="Verdana,Italic"/>
          <w:iCs/>
          <w:sz w:val="20"/>
          <w:szCs w:val="20"/>
        </w:rPr>
        <w:t xml:space="preserve">Le </w:t>
      </w:r>
      <w:r w:rsidRPr="004005B2">
        <w:rPr>
          <w:rFonts w:eastAsia="Times New Roman" w:cs="Verdana,Italic"/>
          <w:b/>
          <w:iCs/>
          <w:sz w:val="20"/>
          <w:szCs w:val="20"/>
        </w:rPr>
        <w:t>coefficient d’exploitation</w:t>
      </w:r>
      <w:r w:rsidR="00987EA8">
        <w:rPr>
          <w:rFonts w:eastAsia="Times New Roman" w:cs="Verdana,Italic"/>
          <w:iCs/>
          <w:sz w:val="20"/>
          <w:szCs w:val="20"/>
        </w:rPr>
        <w:t xml:space="preserve"> </w:t>
      </w:r>
      <w:r w:rsidR="00243CD3">
        <w:rPr>
          <w:rFonts w:eastAsia="Times New Roman" w:cs="Verdana,Italic"/>
          <w:iCs/>
          <w:sz w:val="20"/>
          <w:szCs w:val="20"/>
        </w:rPr>
        <w:t>baisse légèrement (- 0,7 point)</w:t>
      </w:r>
      <w:r w:rsidR="00987EA8">
        <w:rPr>
          <w:rFonts w:eastAsia="Times New Roman" w:cs="Verdana,Italic"/>
          <w:iCs/>
          <w:sz w:val="20"/>
          <w:szCs w:val="20"/>
        </w:rPr>
        <w:t xml:space="preserve"> à</w:t>
      </w:r>
      <w:r w:rsidRPr="004005B2">
        <w:rPr>
          <w:rFonts w:eastAsia="Times New Roman" w:cs="Verdana,Italic"/>
          <w:iCs/>
          <w:sz w:val="20"/>
          <w:szCs w:val="20"/>
        </w:rPr>
        <w:t xml:space="preserve"> 66</w:t>
      </w:r>
      <w:r>
        <w:rPr>
          <w:rFonts w:eastAsia="Times New Roman" w:cs="Verdana,Italic"/>
          <w:iCs/>
          <w:sz w:val="20"/>
          <w:szCs w:val="20"/>
        </w:rPr>
        <w:t>,0</w:t>
      </w:r>
      <w:r w:rsidRPr="004005B2">
        <w:rPr>
          <w:rFonts w:eastAsia="Times New Roman" w:cs="Verdana,Italic"/>
          <w:iCs/>
          <w:sz w:val="20"/>
          <w:szCs w:val="20"/>
        </w:rPr>
        <w:t> %.</w:t>
      </w:r>
    </w:p>
    <w:p w:rsidR="009072A9" w:rsidRPr="004005B2" w:rsidRDefault="009072A9" w:rsidP="009072A9">
      <w:pPr>
        <w:autoSpaceDE w:val="0"/>
        <w:autoSpaceDN w:val="0"/>
        <w:adjustRightInd w:val="0"/>
        <w:rPr>
          <w:rFonts w:eastAsia="Times New Roman" w:cs="Verdana,Italic"/>
          <w:i/>
          <w:iCs/>
          <w:sz w:val="20"/>
          <w:szCs w:val="20"/>
        </w:rPr>
      </w:pPr>
    </w:p>
    <w:p w:rsidR="009072A9" w:rsidRPr="004005B2" w:rsidRDefault="009072A9" w:rsidP="009072A9">
      <w:pPr>
        <w:autoSpaceDE w:val="0"/>
        <w:autoSpaceDN w:val="0"/>
        <w:adjustRightInd w:val="0"/>
        <w:rPr>
          <w:rFonts w:eastAsia="Times New Roman" w:cs="Verdana,Italic"/>
          <w:iCs/>
          <w:sz w:val="20"/>
          <w:szCs w:val="20"/>
        </w:rPr>
      </w:pPr>
      <w:r w:rsidRPr="004005B2">
        <w:rPr>
          <w:rFonts w:eastAsia="Times New Roman" w:cs="Verdana,Italic"/>
          <w:iCs/>
          <w:sz w:val="20"/>
          <w:szCs w:val="20"/>
        </w:rPr>
        <w:t xml:space="preserve">Le </w:t>
      </w:r>
      <w:r w:rsidRPr="004005B2">
        <w:rPr>
          <w:rFonts w:eastAsia="Times New Roman" w:cs="Verdana,Italic"/>
          <w:b/>
          <w:iCs/>
          <w:sz w:val="20"/>
          <w:szCs w:val="20"/>
        </w:rPr>
        <w:t>coût du risque</w:t>
      </w:r>
      <w:r w:rsidRPr="004005B2">
        <w:rPr>
          <w:rFonts w:eastAsia="Times New Roman" w:cs="Verdana,Italic"/>
          <w:iCs/>
          <w:sz w:val="20"/>
          <w:szCs w:val="20"/>
        </w:rPr>
        <w:t xml:space="preserve">, à </w:t>
      </w:r>
      <w:r w:rsidR="006D277F">
        <w:rPr>
          <w:rFonts w:eastAsia="Times New Roman" w:cs="Verdana,Italic"/>
          <w:iCs/>
          <w:sz w:val="20"/>
          <w:szCs w:val="20"/>
        </w:rPr>
        <w:t>153</w:t>
      </w:r>
      <w:r w:rsidR="0087198F">
        <w:rPr>
          <w:rFonts w:eastAsia="Times New Roman" w:cs="Verdana,Italic"/>
          <w:iCs/>
          <w:sz w:val="20"/>
          <w:szCs w:val="20"/>
        </w:rPr>
        <w:t> </w:t>
      </w:r>
      <w:r>
        <w:rPr>
          <w:rFonts w:eastAsia="Times New Roman" w:cs="Verdana,Italic"/>
          <w:iCs/>
          <w:sz w:val="20"/>
          <w:szCs w:val="20"/>
        </w:rPr>
        <w:t>millions d’euros</w:t>
      </w:r>
      <w:r w:rsidRPr="004005B2">
        <w:rPr>
          <w:rFonts w:eastAsia="Times New Roman" w:cs="Verdana,Italic"/>
          <w:iCs/>
          <w:sz w:val="20"/>
          <w:szCs w:val="20"/>
        </w:rPr>
        <w:t xml:space="preserve">, est en baisse </w:t>
      </w:r>
      <w:r w:rsidRPr="002702C5">
        <w:rPr>
          <w:rFonts w:eastAsia="Times New Roman" w:cs="Verdana,Italic"/>
          <w:iCs/>
          <w:sz w:val="20"/>
          <w:szCs w:val="20"/>
        </w:rPr>
        <w:t xml:space="preserve">de </w:t>
      </w:r>
      <w:r w:rsidR="006D277F" w:rsidRPr="00A9739C">
        <w:rPr>
          <w:rFonts w:eastAsia="Times New Roman" w:cs="Verdana,Italic"/>
          <w:iCs/>
          <w:sz w:val="20"/>
          <w:szCs w:val="20"/>
        </w:rPr>
        <w:t>3</w:t>
      </w:r>
      <w:r w:rsidRPr="00A9739C">
        <w:rPr>
          <w:rFonts w:eastAsia="Times New Roman" w:cs="Verdana,Italic"/>
          <w:iCs/>
          <w:sz w:val="20"/>
          <w:szCs w:val="20"/>
        </w:rPr>
        <w:t>,</w:t>
      </w:r>
      <w:r w:rsidR="006D277F" w:rsidRPr="00A9739C">
        <w:rPr>
          <w:rFonts w:eastAsia="Times New Roman" w:cs="Verdana,Italic"/>
          <w:iCs/>
          <w:sz w:val="20"/>
          <w:szCs w:val="20"/>
        </w:rPr>
        <w:t>5</w:t>
      </w:r>
      <w:r w:rsidRPr="00A9739C">
        <w:rPr>
          <w:rFonts w:eastAsia="Times New Roman" w:cs="Verdana,Italic"/>
          <w:iCs/>
          <w:sz w:val="20"/>
          <w:szCs w:val="20"/>
        </w:rPr>
        <w:t> %</w:t>
      </w:r>
      <w:r w:rsidR="00196FC6">
        <w:rPr>
          <w:rFonts w:eastAsia="Times New Roman" w:cs="Verdana,Italic"/>
          <w:iCs/>
          <w:sz w:val="20"/>
          <w:szCs w:val="20"/>
        </w:rPr>
        <w:t xml:space="preserve"> (34 points de base au troisième trimestre 2014 contre 38 points de base au troisième trimestre 2013)</w:t>
      </w:r>
      <w:r w:rsidR="006D277F" w:rsidRPr="00A9739C">
        <w:rPr>
          <w:rFonts w:eastAsia="Times New Roman" w:cs="Verdana,Italic"/>
          <w:iCs/>
          <w:sz w:val="20"/>
          <w:szCs w:val="20"/>
        </w:rPr>
        <w:t>.</w:t>
      </w:r>
    </w:p>
    <w:p w:rsidR="009072A9" w:rsidRPr="00F5139A" w:rsidRDefault="009072A9" w:rsidP="009072A9">
      <w:pPr>
        <w:autoSpaceDE w:val="0"/>
        <w:autoSpaceDN w:val="0"/>
        <w:adjustRightInd w:val="0"/>
        <w:rPr>
          <w:rFonts w:eastAsia="Times New Roman" w:cs="Verdana,Italic"/>
          <w:iCs/>
          <w:sz w:val="20"/>
          <w:szCs w:val="20"/>
        </w:rPr>
      </w:pPr>
    </w:p>
    <w:p w:rsidR="009072A9" w:rsidRPr="00F5139A" w:rsidRDefault="009072A9" w:rsidP="009072A9">
      <w:pPr>
        <w:autoSpaceDE w:val="0"/>
        <w:autoSpaceDN w:val="0"/>
        <w:adjustRightInd w:val="0"/>
        <w:rPr>
          <w:rFonts w:eastAsia="Times New Roman" w:cs="Verdana,Italic"/>
          <w:iCs/>
          <w:sz w:val="20"/>
          <w:szCs w:val="20"/>
        </w:rPr>
      </w:pPr>
      <w:r w:rsidRPr="00F5139A">
        <w:rPr>
          <w:rFonts w:eastAsia="Times New Roman" w:cs="Verdana,Italic"/>
          <w:iCs/>
          <w:sz w:val="20"/>
          <w:szCs w:val="20"/>
        </w:rPr>
        <w:lastRenderedPageBreak/>
        <w:t xml:space="preserve">Le réseau Banque Populaire contribue au </w:t>
      </w:r>
      <w:r w:rsidRPr="00F5139A">
        <w:rPr>
          <w:rFonts w:eastAsia="Times New Roman" w:cs="Verdana,Italic"/>
          <w:b/>
          <w:iCs/>
          <w:sz w:val="20"/>
          <w:szCs w:val="20"/>
        </w:rPr>
        <w:t>résu</w:t>
      </w:r>
      <w:r w:rsidRPr="002702C5">
        <w:rPr>
          <w:rFonts w:eastAsia="Times New Roman" w:cs="Verdana,Italic"/>
          <w:b/>
          <w:iCs/>
          <w:sz w:val="20"/>
          <w:szCs w:val="20"/>
        </w:rPr>
        <w:t>ltat avant impôt du Groupe BPCE</w:t>
      </w:r>
      <w:r w:rsidRPr="00702BD8">
        <w:rPr>
          <w:rFonts w:eastAsia="Times New Roman" w:cs="Verdana,Italic"/>
          <w:iCs/>
          <w:sz w:val="20"/>
          <w:szCs w:val="20"/>
        </w:rPr>
        <w:t xml:space="preserve"> à hauteur de </w:t>
      </w:r>
      <w:r w:rsidRPr="00763446">
        <w:rPr>
          <w:rFonts w:eastAsia="Times New Roman" w:cs="Verdana,Italic"/>
          <w:iCs/>
          <w:sz w:val="20"/>
          <w:szCs w:val="20"/>
        </w:rPr>
        <w:t>39</w:t>
      </w:r>
      <w:r w:rsidR="006D277F" w:rsidRPr="00763446">
        <w:rPr>
          <w:rFonts w:eastAsia="Times New Roman" w:cs="Verdana,Italic"/>
          <w:iCs/>
          <w:sz w:val="20"/>
          <w:szCs w:val="20"/>
        </w:rPr>
        <w:t>7</w:t>
      </w:r>
      <w:r w:rsidR="0087198F">
        <w:rPr>
          <w:rFonts w:eastAsia="Times New Roman" w:cs="Verdana,Italic"/>
          <w:iCs/>
          <w:sz w:val="20"/>
          <w:szCs w:val="20"/>
        </w:rPr>
        <w:t> </w:t>
      </w:r>
      <w:r w:rsidRPr="00763446">
        <w:rPr>
          <w:rFonts w:eastAsia="Times New Roman" w:cs="Verdana,Italic"/>
          <w:iCs/>
          <w:sz w:val="20"/>
          <w:szCs w:val="20"/>
        </w:rPr>
        <w:t>millions d’euros au troisième trimestre 2014</w:t>
      </w:r>
      <w:r w:rsidRPr="00A9739C">
        <w:rPr>
          <w:rFonts w:eastAsia="Times New Roman" w:cs="Verdana,Italic"/>
          <w:iCs/>
          <w:sz w:val="20"/>
          <w:szCs w:val="20"/>
        </w:rPr>
        <w:t xml:space="preserve">, </w:t>
      </w:r>
      <w:r w:rsidR="00027C41" w:rsidRPr="00A9739C">
        <w:rPr>
          <w:rFonts w:eastAsia="Times New Roman" w:cs="Verdana,Italic"/>
          <w:iCs/>
          <w:sz w:val="20"/>
          <w:szCs w:val="20"/>
        </w:rPr>
        <w:t xml:space="preserve">soit une </w:t>
      </w:r>
      <w:r w:rsidR="0087198F">
        <w:rPr>
          <w:rFonts w:eastAsia="Times New Roman" w:cs="Verdana,Italic"/>
          <w:iCs/>
          <w:sz w:val="20"/>
          <w:szCs w:val="20"/>
        </w:rPr>
        <w:t>hausse de </w:t>
      </w:r>
      <w:r w:rsidR="006D277F" w:rsidRPr="00A9739C">
        <w:rPr>
          <w:rFonts w:eastAsia="Times New Roman" w:cs="Verdana,Italic"/>
          <w:iCs/>
          <w:sz w:val="20"/>
          <w:szCs w:val="20"/>
        </w:rPr>
        <w:t>9</w:t>
      </w:r>
      <w:r w:rsidRPr="00A9739C">
        <w:rPr>
          <w:rFonts w:eastAsia="Times New Roman" w:cs="Verdana,Italic"/>
          <w:iCs/>
          <w:sz w:val="20"/>
          <w:szCs w:val="20"/>
        </w:rPr>
        <w:t>,</w:t>
      </w:r>
      <w:r w:rsidR="006D277F" w:rsidRPr="00A9739C">
        <w:rPr>
          <w:rFonts w:eastAsia="Times New Roman" w:cs="Verdana,Italic"/>
          <w:iCs/>
          <w:sz w:val="20"/>
          <w:szCs w:val="20"/>
        </w:rPr>
        <w:t>7</w:t>
      </w:r>
      <w:r w:rsidR="00273DC0" w:rsidRPr="00A9739C">
        <w:rPr>
          <w:rFonts w:eastAsia="Times New Roman" w:cs="Verdana,Italic"/>
          <w:iCs/>
          <w:sz w:val="20"/>
          <w:szCs w:val="20"/>
        </w:rPr>
        <w:t xml:space="preserve"> </w:t>
      </w:r>
      <w:r w:rsidRPr="00A9739C">
        <w:rPr>
          <w:rFonts w:eastAsia="Times New Roman" w:cs="Verdana,Italic"/>
          <w:iCs/>
          <w:sz w:val="20"/>
          <w:szCs w:val="20"/>
        </w:rPr>
        <w:t xml:space="preserve">% </w:t>
      </w:r>
      <w:r w:rsidR="00D20BAB" w:rsidRPr="00A9739C">
        <w:rPr>
          <w:rFonts w:eastAsia="Times New Roman" w:cs="Verdana,Italic"/>
          <w:iCs/>
          <w:sz w:val="20"/>
          <w:szCs w:val="20"/>
        </w:rPr>
        <w:t>par rapport au troisième trimestre 2013.</w:t>
      </w:r>
      <w:r w:rsidR="006D00EB">
        <w:rPr>
          <w:rFonts w:eastAsia="Times New Roman" w:cs="Verdana,Italic"/>
          <w:iCs/>
          <w:sz w:val="20"/>
          <w:szCs w:val="20"/>
        </w:rPr>
        <w:t xml:space="preserve"> Sur les neuf premiers mois de 2014, la contribution au résultat avant impôt du groupe augmente de 13,1 % à 1 182 millions d’euros.</w:t>
      </w:r>
    </w:p>
    <w:p w:rsidR="009072A9" w:rsidRDefault="009072A9" w:rsidP="009072A9">
      <w:pPr>
        <w:autoSpaceDE w:val="0"/>
        <w:autoSpaceDN w:val="0"/>
        <w:adjustRightInd w:val="0"/>
        <w:rPr>
          <w:rFonts w:eastAsia="Times New Roman" w:cs="Verdana,Bold"/>
          <w:b/>
          <w:bCs/>
          <w:color w:val="E36C0A"/>
          <w:sz w:val="20"/>
          <w:szCs w:val="20"/>
        </w:rPr>
      </w:pPr>
    </w:p>
    <w:p w:rsidR="009072A9" w:rsidRDefault="009072A9" w:rsidP="009072A9">
      <w:pPr>
        <w:autoSpaceDE w:val="0"/>
        <w:autoSpaceDN w:val="0"/>
        <w:adjustRightInd w:val="0"/>
        <w:rPr>
          <w:rFonts w:eastAsia="Times New Roman" w:cs="Verdana,Bold"/>
          <w:b/>
          <w:bCs/>
          <w:color w:val="E36C0A"/>
          <w:sz w:val="20"/>
          <w:szCs w:val="20"/>
        </w:rPr>
      </w:pPr>
    </w:p>
    <w:p w:rsidR="009072A9" w:rsidRPr="00EE1174" w:rsidRDefault="009072A9" w:rsidP="009072A9">
      <w:pPr>
        <w:autoSpaceDE w:val="0"/>
        <w:autoSpaceDN w:val="0"/>
        <w:adjustRightInd w:val="0"/>
        <w:rPr>
          <w:rFonts w:eastAsia="Times New Roman" w:cs="Verdana,Italic"/>
          <w:b/>
          <w:bCs/>
          <w:i/>
          <w:iCs/>
          <w:color w:val="000000"/>
          <w:sz w:val="20"/>
          <w:szCs w:val="20"/>
        </w:rPr>
      </w:pPr>
      <w:r w:rsidRPr="00EE1174">
        <w:rPr>
          <w:rFonts w:eastAsia="Times New Roman" w:cs="Verdana,Bold"/>
          <w:b/>
          <w:bCs/>
          <w:color w:val="E36C0A"/>
          <w:sz w:val="20"/>
          <w:szCs w:val="20"/>
        </w:rPr>
        <w:t>3.1.2</w:t>
      </w:r>
      <w:r w:rsidRPr="00EE1174">
        <w:rPr>
          <w:rFonts w:eastAsia="Times New Roman" w:cs="Verdana,Italic"/>
          <w:b/>
          <w:bCs/>
          <w:i/>
          <w:iCs/>
          <w:color w:val="000000"/>
          <w:sz w:val="20"/>
          <w:szCs w:val="20"/>
        </w:rPr>
        <w:t xml:space="preserve"> </w:t>
      </w:r>
      <w:r w:rsidRPr="00B61C1D">
        <w:rPr>
          <w:rFonts w:eastAsia="Times New Roman" w:cs="Verdana,Bold"/>
          <w:b/>
          <w:bCs/>
          <w:color w:val="581D74"/>
          <w:sz w:val="20"/>
          <w:szCs w:val="20"/>
        </w:rPr>
        <w:t xml:space="preserve">Caisse </w:t>
      </w:r>
      <w:r w:rsidRPr="00027C41">
        <w:rPr>
          <w:rFonts w:eastAsia="Times New Roman" w:cs="Verdana,Bold"/>
          <w:b/>
          <w:bCs/>
          <w:color w:val="581D74"/>
          <w:sz w:val="20"/>
          <w:szCs w:val="20"/>
        </w:rPr>
        <w:t>d’Epargne</w:t>
      </w:r>
      <w:r w:rsidR="00F4458B" w:rsidRPr="00027C41">
        <w:rPr>
          <w:rFonts w:eastAsia="Times New Roman" w:cs="Verdana,Bold"/>
          <w:b/>
          <w:bCs/>
          <w:color w:val="581D74"/>
          <w:sz w:val="20"/>
          <w:szCs w:val="20"/>
        </w:rPr>
        <w:t> </w:t>
      </w:r>
      <w:r w:rsidR="00027C41" w:rsidRPr="00027C41">
        <w:rPr>
          <w:rFonts w:eastAsia="Times New Roman" w:cs="Verdana,Bold"/>
          <w:b/>
          <w:bCs/>
          <w:color w:val="581D74"/>
          <w:sz w:val="20"/>
          <w:szCs w:val="20"/>
        </w:rPr>
        <w:t>: forte dynamique des marchés spécialisés</w:t>
      </w:r>
    </w:p>
    <w:p w:rsidR="009072A9" w:rsidRPr="00EE1174" w:rsidRDefault="009072A9" w:rsidP="009072A9">
      <w:pPr>
        <w:autoSpaceDE w:val="0"/>
        <w:autoSpaceDN w:val="0"/>
        <w:adjustRightInd w:val="0"/>
        <w:rPr>
          <w:rFonts w:eastAsia="Times New Roman" w:cs="Verdana,Italic"/>
          <w:i/>
          <w:iCs/>
          <w:color w:val="000000"/>
          <w:sz w:val="20"/>
          <w:szCs w:val="20"/>
        </w:rPr>
      </w:pPr>
    </w:p>
    <w:p w:rsidR="009072A9" w:rsidRPr="00B61C1D" w:rsidRDefault="009072A9" w:rsidP="009072A9">
      <w:pPr>
        <w:autoSpaceDE w:val="0"/>
        <w:autoSpaceDN w:val="0"/>
        <w:adjustRightInd w:val="0"/>
        <w:rPr>
          <w:rFonts w:eastAsia="Times New Roman" w:cs="Verdana,Italic"/>
          <w:i/>
          <w:iCs/>
          <w:color w:val="825D69" w:themeColor="text2"/>
          <w:sz w:val="18"/>
          <w:szCs w:val="18"/>
        </w:rPr>
      </w:pPr>
      <w:r w:rsidRPr="004F4252">
        <w:rPr>
          <w:rFonts w:eastAsia="Times New Roman" w:cs="Verdana,Italic"/>
          <w:i/>
          <w:iCs/>
          <w:color w:val="825D69" w:themeColor="text2"/>
          <w:sz w:val="18"/>
          <w:szCs w:val="18"/>
        </w:rPr>
        <w:t>Le réseau Caisse d’Epargne reg</w:t>
      </w:r>
      <w:r>
        <w:rPr>
          <w:rFonts w:eastAsia="Times New Roman" w:cs="Verdana,Italic"/>
          <w:i/>
          <w:iCs/>
          <w:color w:val="825D69" w:themeColor="text2"/>
          <w:sz w:val="18"/>
          <w:szCs w:val="18"/>
        </w:rPr>
        <w:t>roupe les 17 Caisses d’Epargne</w:t>
      </w:r>
      <w:r w:rsidR="00027C41">
        <w:rPr>
          <w:rFonts w:eastAsia="Times New Roman" w:cs="Verdana,Italic"/>
          <w:i/>
          <w:iCs/>
          <w:color w:val="825D69" w:themeColor="text2"/>
          <w:sz w:val="18"/>
          <w:szCs w:val="18"/>
        </w:rPr>
        <w:t xml:space="preserve"> ainsi que leurs filiales</w:t>
      </w:r>
      <w:r>
        <w:rPr>
          <w:rFonts w:eastAsia="Times New Roman" w:cs="Verdana,Italic"/>
          <w:i/>
          <w:iCs/>
          <w:color w:val="825D69" w:themeColor="text2"/>
          <w:sz w:val="18"/>
          <w:szCs w:val="18"/>
        </w:rPr>
        <w:t>.</w:t>
      </w:r>
    </w:p>
    <w:p w:rsidR="009072A9" w:rsidRPr="00EE1174" w:rsidRDefault="009072A9" w:rsidP="009072A9">
      <w:pPr>
        <w:autoSpaceDE w:val="0"/>
        <w:autoSpaceDN w:val="0"/>
        <w:adjustRightInd w:val="0"/>
        <w:rPr>
          <w:rFonts w:eastAsia="Times New Roman" w:cs="Verdana,Italic"/>
          <w:i/>
          <w:iCs/>
          <w:color w:val="000000"/>
          <w:sz w:val="20"/>
          <w:szCs w:val="20"/>
        </w:rPr>
      </w:pPr>
    </w:p>
    <w:p w:rsidR="009072A9" w:rsidRPr="00EE1174" w:rsidRDefault="009072A9" w:rsidP="009072A9">
      <w:pPr>
        <w:numPr>
          <w:ilvl w:val="1"/>
          <w:numId w:val="5"/>
        </w:numPr>
        <w:autoSpaceDE w:val="0"/>
        <w:autoSpaceDN w:val="0"/>
        <w:adjustRightInd w:val="0"/>
        <w:spacing w:line="340" w:lineRule="atLeast"/>
        <w:jc w:val="left"/>
        <w:rPr>
          <w:rFonts w:eastAsia="Times New Roman" w:cs="Verdana,Italic"/>
          <w:b/>
          <w:bCs/>
          <w:iCs/>
          <w:color w:val="000000"/>
          <w:sz w:val="20"/>
          <w:szCs w:val="20"/>
        </w:rPr>
      </w:pPr>
      <w:r w:rsidRPr="00EE1174">
        <w:rPr>
          <w:rFonts w:eastAsia="Times New Roman" w:cs="Verdana,Italic"/>
          <w:b/>
          <w:bCs/>
          <w:iCs/>
          <w:color w:val="000000"/>
          <w:sz w:val="20"/>
          <w:szCs w:val="20"/>
        </w:rPr>
        <w:t>Fonds de commerce</w:t>
      </w:r>
    </w:p>
    <w:p w:rsidR="009072A9" w:rsidRPr="00EE1174" w:rsidRDefault="009072A9" w:rsidP="009072A9">
      <w:pPr>
        <w:autoSpaceDE w:val="0"/>
        <w:autoSpaceDN w:val="0"/>
        <w:adjustRightInd w:val="0"/>
        <w:rPr>
          <w:rFonts w:eastAsia="Times New Roman" w:cs="Verdana,Italic"/>
          <w:iCs/>
          <w:color w:val="000000"/>
          <w:sz w:val="20"/>
          <w:szCs w:val="20"/>
        </w:rPr>
      </w:pPr>
    </w:p>
    <w:p w:rsidR="009072A9" w:rsidRPr="00C932CA" w:rsidRDefault="009072A9" w:rsidP="009072A9">
      <w:pPr>
        <w:autoSpaceDE w:val="0"/>
        <w:autoSpaceDN w:val="0"/>
        <w:adjustRightInd w:val="0"/>
        <w:rPr>
          <w:rFonts w:eastAsia="Times New Roman" w:cs="Verdana,Italic"/>
          <w:iCs/>
          <w:sz w:val="20"/>
          <w:szCs w:val="20"/>
        </w:rPr>
      </w:pPr>
      <w:r w:rsidRPr="00C60835">
        <w:rPr>
          <w:rFonts w:eastAsia="Times New Roman" w:cs="Verdana,Italic"/>
          <w:iCs/>
          <w:sz w:val="20"/>
          <w:szCs w:val="20"/>
        </w:rPr>
        <w:t>Les Cais</w:t>
      </w:r>
      <w:r w:rsidR="00093C53">
        <w:rPr>
          <w:rFonts w:eastAsia="Times New Roman" w:cs="Verdana,Italic"/>
          <w:iCs/>
          <w:sz w:val="20"/>
          <w:szCs w:val="20"/>
        </w:rPr>
        <w:t>ses d’Epargne ont poursuivi au troisièm</w:t>
      </w:r>
      <w:r w:rsidRPr="00C60835">
        <w:rPr>
          <w:rFonts w:eastAsia="Times New Roman" w:cs="Verdana,Italic"/>
          <w:iCs/>
          <w:sz w:val="20"/>
          <w:szCs w:val="20"/>
        </w:rPr>
        <w:t>e trimestre leur stratégie d</w:t>
      </w:r>
      <w:r w:rsidR="00F4458B">
        <w:rPr>
          <w:rFonts w:eastAsia="Times New Roman" w:cs="Verdana,Italic"/>
          <w:iCs/>
          <w:sz w:val="20"/>
          <w:szCs w:val="20"/>
        </w:rPr>
        <w:t>e bancarisation et d’équipement avec une hausse du n</w:t>
      </w:r>
      <w:r w:rsidRPr="00C60835">
        <w:rPr>
          <w:rFonts w:eastAsia="Times New Roman" w:cs="Verdana,Italic"/>
          <w:iCs/>
          <w:sz w:val="20"/>
          <w:szCs w:val="20"/>
        </w:rPr>
        <w:t xml:space="preserve">ombre de clients </w:t>
      </w:r>
      <w:r w:rsidRPr="00C932CA">
        <w:rPr>
          <w:rFonts w:eastAsia="Times New Roman" w:cs="Verdana,Italic"/>
          <w:iCs/>
          <w:sz w:val="20"/>
          <w:szCs w:val="20"/>
        </w:rPr>
        <w:t xml:space="preserve">particuliers bancarisés </w:t>
      </w:r>
      <w:r w:rsidR="0087198F">
        <w:rPr>
          <w:rFonts w:eastAsia="Times New Roman" w:cs="Verdana,Italic"/>
          <w:iCs/>
          <w:sz w:val="20"/>
          <w:szCs w:val="20"/>
        </w:rPr>
        <w:t>(+ </w:t>
      </w:r>
      <w:r w:rsidRPr="00C932CA">
        <w:rPr>
          <w:rFonts w:eastAsia="Times New Roman" w:cs="Verdana,Italic"/>
          <w:iCs/>
          <w:sz w:val="20"/>
          <w:szCs w:val="20"/>
        </w:rPr>
        <w:t>3,0 %</w:t>
      </w:r>
      <w:r w:rsidR="00F4458B" w:rsidRPr="00C932CA">
        <w:rPr>
          <w:rFonts w:eastAsia="Times New Roman" w:cs="Verdana,Italic"/>
          <w:iCs/>
          <w:sz w:val="20"/>
          <w:szCs w:val="20"/>
        </w:rPr>
        <w:t>), de clients actifs professionnels (+</w:t>
      </w:r>
      <w:r w:rsidR="0087198F">
        <w:rPr>
          <w:rFonts w:eastAsia="Times New Roman" w:cs="Verdana,Italic"/>
          <w:iCs/>
          <w:sz w:val="20"/>
          <w:szCs w:val="20"/>
        </w:rPr>
        <w:t> </w:t>
      </w:r>
      <w:r w:rsidR="00F4458B" w:rsidRPr="00C932CA">
        <w:rPr>
          <w:rFonts w:eastAsia="Times New Roman" w:cs="Verdana,Italic"/>
          <w:iCs/>
          <w:sz w:val="20"/>
          <w:szCs w:val="20"/>
        </w:rPr>
        <w:t xml:space="preserve">5,2 </w:t>
      </w:r>
      <w:r w:rsidR="000017FD">
        <w:rPr>
          <w:rFonts w:eastAsia="Times New Roman" w:cs="Verdana,Italic"/>
          <w:iCs/>
          <w:sz w:val="20"/>
          <w:szCs w:val="20"/>
        </w:rPr>
        <w:t xml:space="preserve">%) et </w:t>
      </w:r>
      <w:r w:rsidR="00F4458B" w:rsidRPr="00C932CA">
        <w:rPr>
          <w:rFonts w:eastAsia="Times New Roman" w:cs="Verdana,Italic"/>
          <w:iCs/>
          <w:sz w:val="20"/>
          <w:szCs w:val="20"/>
        </w:rPr>
        <w:t>entreprises (+</w:t>
      </w:r>
      <w:r w:rsidR="0087198F">
        <w:rPr>
          <w:rFonts w:eastAsia="Times New Roman" w:cs="Verdana,Italic"/>
          <w:iCs/>
          <w:sz w:val="20"/>
          <w:szCs w:val="20"/>
        </w:rPr>
        <w:t> </w:t>
      </w:r>
      <w:r w:rsidR="00F4458B" w:rsidRPr="00C932CA">
        <w:rPr>
          <w:rFonts w:eastAsia="Times New Roman" w:cs="Verdana,Italic"/>
          <w:iCs/>
          <w:sz w:val="20"/>
          <w:szCs w:val="20"/>
        </w:rPr>
        <w:t>8,</w:t>
      </w:r>
      <w:r w:rsidR="00702BD8">
        <w:rPr>
          <w:rFonts w:eastAsia="Times New Roman" w:cs="Verdana,Italic"/>
          <w:iCs/>
          <w:sz w:val="20"/>
          <w:szCs w:val="20"/>
        </w:rPr>
        <w:t>6</w:t>
      </w:r>
      <w:r w:rsidR="00DF1ED8" w:rsidRPr="00C932CA">
        <w:rPr>
          <w:rFonts w:eastAsia="Times New Roman" w:cs="Verdana,Italic"/>
          <w:iCs/>
          <w:sz w:val="20"/>
          <w:szCs w:val="20"/>
        </w:rPr>
        <w:t xml:space="preserve"> </w:t>
      </w:r>
      <w:r w:rsidR="00F4458B" w:rsidRPr="00C932CA">
        <w:rPr>
          <w:rFonts w:eastAsia="Times New Roman" w:cs="Verdana,Italic"/>
          <w:iCs/>
          <w:sz w:val="20"/>
          <w:szCs w:val="20"/>
        </w:rPr>
        <w:t>%)</w:t>
      </w:r>
      <w:r w:rsidR="00DF1ED8" w:rsidRPr="00C932CA">
        <w:rPr>
          <w:rFonts w:eastAsia="Times New Roman" w:cs="Verdana,Italic"/>
          <w:iCs/>
          <w:sz w:val="20"/>
          <w:szCs w:val="20"/>
        </w:rPr>
        <w:t>.</w:t>
      </w:r>
    </w:p>
    <w:p w:rsidR="009072A9" w:rsidRPr="00EE1174" w:rsidRDefault="009072A9" w:rsidP="009072A9">
      <w:pPr>
        <w:autoSpaceDE w:val="0"/>
        <w:autoSpaceDN w:val="0"/>
        <w:adjustRightInd w:val="0"/>
        <w:rPr>
          <w:rFonts w:eastAsia="Times New Roman" w:cs="Verdana,Italic"/>
          <w:iCs/>
          <w:color w:val="000000"/>
          <w:sz w:val="20"/>
          <w:szCs w:val="20"/>
        </w:rPr>
      </w:pPr>
    </w:p>
    <w:p w:rsidR="009072A9" w:rsidRPr="00EE1174" w:rsidRDefault="009072A9" w:rsidP="009072A9">
      <w:pPr>
        <w:numPr>
          <w:ilvl w:val="1"/>
          <w:numId w:val="5"/>
        </w:numPr>
        <w:autoSpaceDE w:val="0"/>
        <w:autoSpaceDN w:val="0"/>
        <w:adjustRightInd w:val="0"/>
        <w:spacing w:line="340" w:lineRule="atLeast"/>
        <w:jc w:val="left"/>
        <w:rPr>
          <w:rFonts w:eastAsia="Times New Roman" w:cs="Verdana,Italic"/>
          <w:b/>
          <w:bCs/>
          <w:iCs/>
          <w:color w:val="000000"/>
          <w:sz w:val="20"/>
          <w:szCs w:val="20"/>
        </w:rPr>
      </w:pPr>
      <w:r>
        <w:rPr>
          <w:rFonts w:eastAsia="Times New Roman" w:cs="Verdana,Italic"/>
          <w:b/>
          <w:bCs/>
          <w:iCs/>
          <w:color w:val="000000"/>
          <w:sz w:val="20"/>
          <w:szCs w:val="20"/>
        </w:rPr>
        <w:t>É</w:t>
      </w:r>
      <w:r w:rsidRPr="00EE1174">
        <w:rPr>
          <w:rFonts w:eastAsia="Times New Roman" w:cs="Verdana,Italic"/>
          <w:b/>
          <w:bCs/>
          <w:iCs/>
          <w:color w:val="000000"/>
          <w:sz w:val="20"/>
          <w:szCs w:val="20"/>
        </w:rPr>
        <w:t>pargne</w:t>
      </w:r>
    </w:p>
    <w:p w:rsidR="009072A9" w:rsidRPr="00EE1174" w:rsidRDefault="009072A9" w:rsidP="009072A9">
      <w:pPr>
        <w:autoSpaceDE w:val="0"/>
        <w:autoSpaceDN w:val="0"/>
        <w:adjustRightInd w:val="0"/>
        <w:ind w:left="1440"/>
        <w:rPr>
          <w:rFonts w:eastAsia="Times New Roman" w:cs="Verdana,Italic"/>
          <w:b/>
          <w:bCs/>
          <w:iCs/>
          <w:color w:val="000000"/>
          <w:sz w:val="20"/>
          <w:szCs w:val="20"/>
        </w:rPr>
      </w:pPr>
    </w:p>
    <w:p w:rsidR="00211AF7" w:rsidRDefault="0051639E" w:rsidP="009072A9">
      <w:pPr>
        <w:autoSpaceDE w:val="0"/>
        <w:autoSpaceDN w:val="0"/>
        <w:adjustRightInd w:val="0"/>
        <w:rPr>
          <w:sz w:val="20"/>
          <w:szCs w:val="20"/>
        </w:rPr>
      </w:pPr>
      <w:r>
        <w:rPr>
          <w:rFonts w:cs="Verdana"/>
          <w:sz w:val="20"/>
          <w:szCs w:val="20"/>
        </w:rPr>
        <w:t xml:space="preserve">Au 30 septembre 2014, l’encours d’épargne s’élève à 379 milliards d’euros. </w:t>
      </w:r>
      <w:r w:rsidR="009072A9" w:rsidRPr="00C932CA">
        <w:rPr>
          <w:sz w:val="20"/>
          <w:szCs w:val="20"/>
        </w:rPr>
        <w:t xml:space="preserve">L’encours d’épargne </w:t>
      </w:r>
      <w:r w:rsidR="00211AF7" w:rsidRPr="00C932CA">
        <w:rPr>
          <w:sz w:val="20"/>
          <w:szCs w:val="20"/>
        </w:rPr>
        <w:t xml:space="preserve">de bilan </w:t>
      </w:r>
      <w:r w:rsidR="009072A9" w:rsidRPr="00C932CA">
        <w:rPr>
          <w:sz w:val="20"/>
          <w:szCs w:val="20"/>
        </w:rPr>
        <w:t xml:space="preserve">(hors épargne centralisée) </w:t>
      </w:r>
      <w:r w:rsidR="00211AF7" w:rsidRPr="00C932CA">
        <w:rPr>
          <w:sz w:val="20"/>
          <w:szCs w:val="20"/>
        </w:rPr>
        <w:t>s’inscrit en hausse de 6</w:t>
      </w:r>
      <w:r w:rsidR="009072A9" w:rsidRPr="00C932CA">
        <w:rPr>
          <w:sz w:val="20"/>
          <w:szCs w:val="20"/>
        </w:rPr>
        <w:t>,</w:t>
      </w:r>
      <w:r w:rsidR="00211AF7" w:rsidRPr="00C932CA">
        <w:rPr>
          <w:sz w:val="20"/>
          <w:szCs w:val="20"/>
        </w:rPr>
        <w:t>4</w:t>
      </w:r>
      <w:r w:rsidR="009072A9" w:rsidRPr="00C932CA">
        <w:rPr>
          <w:sz w:val="20"/>
          <w:szCs w:val="20"/>
        </w:rPr>
        <w:t> %</w:t>
      </w:r>
      <w:r w:rsidR="00211AF7" w:rsidRPr="00C932CA">
        <w:rPr>
          <w:sz w:val="20"/>
          <w:szCs w:val="20"/>
        </w:rPr>
        <w:t xml:space="preserve"> sur un an. L</w:t>
      </w:r>
      <w:r w:rsidR="00614D52">
        <w:rPr>
          <w:sz w:val="20"/>
          <w:szCs w:val="20"/>
        </w:rPr>
        <w:t xml:space="preserve">es </w:t>
      </w:r>
      <w:r w:rsidR="00614D52" w:rsidRPr="00C932CA">
        <w:rPr>
          <w:sz w:val="20"/>
          <w:szCs w:val="20"/>
        </w:rPr>
        <w:t>dépôts à vue</w:t>
      </w:r>
      <w:r w:rsidR="00614D52">
        <w:rPr>
          <w:sz w:val="20"/>
          <w:szCs w:val="20"/>
        </w:rPr>
        <w:t xml:space="preserve">, en hausse de </w:t>
      </w:r>
      <w:r w:rsidR="00614D52" w:rsidRPr="00C932CA">
        <w:rPr>
          <w:sz w:val="20"/>
          <w:szCs w:val="20"/>
        </w:rPr>
        <w:t>14,0</w:t>
      </w:r>
      <w:r w:rsidR="0087198F">
        <w:rPr>
          <w:sz w:val="20"/>
          <w:szCs w:val="20"/>
        </w:rPr>
        <w:t> </w:t>
      </w:r>
      <w:r w:rsidR="00614D52" w:rsidRPr="00C932CA">
        <w:rPr>
          <w:sz w:val="20"/>
          <w:szCs w:val="20"/>
        </w:rPr>
        <w:t>%</w:t>
      </w:r>
      <w:r w:rsidR="00614D52">
        <w:rPr>
          <w:sz w:val="20"/>
          <w:szCs w:val="20"/>
        </w:rPr>
        <w:t xml:space="preserve"> profitent de la dynamique du fonds de commerce. En parallèle, le contexte de taux courts bas a profité aux produits d’épargne </w:t>
      </w:r>
      <w:proofErr w:type="gramStart"/>
      <w:r w:rsidR="00614D52">
        <w:rPr>
          <w:sz w:val="20"/>
          <w:szCs w:val="20"/>
        </w:rPr>
        <w:t>long</w:t>
      </w:r>
      <w:proofErr w:type="gramEnd"/>
      <w:r w:rsidR="00614D52">
        <w:rPr>
          <w:sz w:val="20"/>
          <w:szCs w:val="20"/>
        </w:rPr>
        <w:t xml:space="preserve"> terme, notamment </w:t>
      </w:r>
      <w:r w:rsidR="008A251C">
        <w:rPr>
          <w:sz w:val="20"/>
          <w:szCs w:val="20"/>
        </w:rPr>
        <w:t xml:space="preserve">aux </w:t>
      </w:r>
      <w:r w:rsidR="00614D52">
        <w:rPr>
          <w:sz w:val="20"/>
          <w:szCs w:val="20"/>
        </w:rPr>
        <w:t xml:space="preserve">PEL et </w:t>
      </w:r>
      <w:r w:rsidR="008A251C">
        <w:rPr>
          <w:sz w:val="20"/>
          <w:szCs w:val="20"/>
        </w:rPr>
        <w:t xml:space="preserve">à </w:t>
      </w:r>
      <w:r w:rsidR="00614D52" w:rsidRPr="00A9739C">
        <w:rPr>
          <w:sz w:val="20"/>
          <w:szCs w:val="20"/>
        </w:rPr>
        <w:t xml:space="preserve">l’assurance vie </w:t>
      </w:r>
      <w:r w:rsidR="008A251C" w:rsidRPr="00A9739C">
        <w:rPr>
          <w:sz w:val="20"/>
          <w:szCs w:val="20"/>
        </w:rPr>
        <w:t>dont les encours ont progressé respectivement de 9,8</w:t>
      </w:r>
      <w:r w:rsidR="0087198F">
        <w:rPr>
          <w:sz w:val="20"/>
          <w:szCs w:val="20"/>
        </w:rPr>
        <w:t> </w:t>
      </w:r>
      <w:r w:rsidR="008A251C" w:rsidRPr="00A9739C">
        <w:rPr>
          <w:sz w:val="20"/>
          <w:szCs w:val="20"/>
        </w:rPr>
        <w:t xml:space="preserve">% et </w:t>
      </w:r>
      <w:r w:rsidR="00614D52" w:rsidRPr="00A9739C">
        <w:rPr>
          <w:sz w:val="20"/>
          <w:szCs w:val="20"/>
        </w:rPr>
        <w:t>2,9</w:t>
      </w:r>
      <w:r w:rsidR="0087198F">
        <w:rPr>
          <w:sz w:val="20"/>
          <w:szCs w:val="20"/>
        </w:rPr>
        <w:t> </w:t>
      </w:r>
      <w:r w:rsidR="00614D52" w:rsidRPr="00A9739C">
        <w:rPr>
          <w:sz w:val="20"/>
          <w:szCs w:val="20"/>
        </w:rPr>
        <w:t>%</w:t>
      </w:r>
      <w:r w:rsidR="008A251C" w:rsidRPr="00A9739C">
        <w:rPr>
          <w:sz w:val="20"/>
          <w:szCs w:val="20"/>
        </w:rPr>
        <w:t>.</w:t>
      </w:r>
      <w:r w:rsidR="00614D52" w:rsidRPr="00A9739C">
        <w:rPr>
          <w:sz w:val="20"/>
          <w:szCs w:val="20"/>
        </w:rPr>
        <w:t xml:space="preserve"> </w:t>
      </w:r>
      <w:r w:rsidR="008A251C">
        <w:rPr>
          <w:sz w:val="20"/>
          <w:szCs w:val="20"/>
        </w:rPr>
        <w:t>L</w:t>
      </w:r>
      <w:r w:rsidR="00614D52">
        <w:rPr>
          <w:sz w:val="20"/>
          <w:szCs w:val="20"/>
        </w:rPr>
        <w:t xml:space="preserve">a collecte brute </w:t>
      </w:r>
      <w:r w:rsidR="008A251C">
        <w:rPr>
          <w:sz w:val="20"/>
          <w:szCs w:val="20"/>
        </w:rPr>
        <w:t>d</w:t>
      </w:r>
      <w:r w:rsidR="00F90C66">
        <w:rPr>
          <w:sz w:val="20"/>
          <w:szCs w:val="20"/>
        </w:rPr>
        <w:t>e l</w:t>
      </w:r>
      <w:r w:rsidR="008A251C">
        <w:rPr>
          <w:sz w:val="20"/>
          <w:szCs w:val="20"/>
        </w:rPr>
        <w:t xml:space="preserve">’assurance vie a par ailleurs bondi </w:t>
      </w:r>
      <w:r w:rsidR="00614D52">
        <w:rPr>
          <w:sz w:val="20"/>
          <w:szCs w:val="20"/>
        </w:rPr>
        <w:t xml:space="preserve">de </w:t>
      </w:r>
      <w:r w:rsidR="00614D52" w:rsidRPr="00C932CA">
        <w:rPr>
          <w:rFonts w:cs="Verdana"/>
          <w:sz w:val="20"/>
          <w:szCs w:val="20"/>
        </w:rPr>
        <w:t>41,0</w:t>
      </w:r>
      <w:r w:rsidR="0087198F">
        <w:rPr>
          <w:rFonts w:cs="Verdana"/>
          <w:sz w:val="20"/>
          <w:szCs w:val="20"/>
        </w:rPr>
        <w:t> </w:t>
      </w:r>
      <w:r w:rsidR="00614D52" w:rsidRPr="00C932CA">
        <w:rPr>
          <w:rFonts w:cs="Verdana"/>
          <w:sz w:val="20"/>
          <w:szCs w:val="20"/>
        </w:rPr>
        <w:t xml:space="preserve">% </w:t>
      </w:r>
      <w:r w:rsidR="00614D52">
        <w:rPr>
          <w:rFonts w:cs="Verdana"/>
          <w:sz w:val="20"/>
          <w:szCs w:val="20"/>
        </w:rPr>
        <w:t>par rapport aux neuf premiers mois de l’année 2013</w:t>
      </w:r>
      <w:r w:rsidR="00614D52" w:rsidRPr="00C932CA">
        <w:rPr>
          <w:rFonts w:cs="Verdana"/>
          <w:sz w:val="20"/>
          <w:szCs w:val="20"/>
        </w:rPr>
        <w:t>.</w:t>
      </w:r>
      <w:r w:rsidR="00614D52">
        <w:rPr>
          <w:sz w:val="20"/>
          <w:szCs w:val="20"/>
        </w:rPr>
        <w:t xml:space="preserve"> Les encours de </w:t>
      </w:r>
      <w:r w:rsidR="00211AF7" w:rsidRPr="00C932CA">
        <w:rPr>
          <w:sz w:val="20"/>
          <w:szCs w:val="20"/>
        </w:rPr>
        <w:t xml:space="preserve">comptes à terme </w:t>
      </w:r>
      <w:r w:rsidR="00614D52">
        <w:rPr>
          <w:sz w:val="20"/>
          <w:szCs w:val="20"/>
        </w:rPr>
        <w:t xml:space="preserve">connaissent également une forte croissance </w:t>
      </w:r>
      <w:r w:rsidR="00211AF7" w:rsidRPr="00C932CA">
        <w:rPr>
          <w:sz w:val="20"/>
          <w:szCs w:val="20"/>
        </w:rPr>
        <w:t>(+ 34,8 %)</w:t>
      </w:r>
      <w:r w:rsidR="00614D52">
        <w:rPr>
          <w:sz w:val="20"/>
          <w:szCs w:val="20"/>
        </w:rPr>
        <w:t>, portés par les marchés spécialisés</w:t>
      </w:r>
      <w:r w:rsidR="00211AF7" w:rsidRPr="00C932CA">
        <w:rPr>
          <w:sz w:val="20"/>
          <w:szCs w:val="20"/>
        </w:rPr>
        <w:t xml:space="preserve">. </w:t>
      </w:r>
    </w:p>
    <w:p w:rsidR="009072A9" w:rsidRDefault="009072A9" w:rsidP="009072A9">
      <w:pPr>
        <w:autoSpaceDE w:val="0"/>
        <w:autoSpaceDN w:val="0"/>
        <w:adjustRightInd w:val="0"/>
        <w:rPr>
          <w:sz w:val="20"/>
          <w:szCs w:val="20"/>
        </w:rPr>
      </w:pPr>
      <w:r w:rsidRPr="00C60835">
        <w:rPr>
          <w:sz w:val="20"/>
          <w:szCs w:val="20"/>
        </w:rPr>
        <w:t xml:space="preserve"> </w:t>
      </w:r>
    </w:p>
    <w:p w:rsidR="009072A9" w:rsidRPr="006E0D24" w:rsidRDefault="009072A9" w:rsidP="009072A9">
      <w:pPr>
        <w:numPr>
          <w:ilvl w:val="1"/>
          <w:numId w:val="5"/>
        </w:numPr>
        <w:autoSpaceDE w:val="0"/>
        <w:autoSpaceDN w:val="0"/>
        <w:adjustRightInd w:val="0"/>
        <w:spacing w:line="340" w:lineRule="atLeast"/>
        <w:jc w:val="left"/>
        <w:rPr>
          <w:rFonts w:eastAsia="Times New Roman" w:cs="Verdana,Italic"/>
          <w:b/>
          <w:bCs/>
          <w:iCs/>
          <w:sz w:val="20"/>
          <w:szCs w:val="20"/>
        </w:rPr>
      </w:pPr>
      <w:r w:rsidRPr="006E0D24">
        <w:rPr>
          <w:rFonts w:eastAsia="Times New Roman" w:cs="Verdana,Italic"/>
          <w:b/>
          <w:bCs/>
          <w:iCs/>
          <w:sz w:val="20"/>
          <w:szCs w:val="20"/>
        </w:rPr>
        <w:t>Crédits</w:t>
      </w:r>
    </w:p>
    <w:p w:rsidR="009072A9" w:rsidRPr="006E0D24" w:rsidRDefault="009072A9" w:rsidP="009072A9">
      <w:pPr>
        <w:autoSpaceDE w:val="0"/>
        <w:autoSpaceDN w:val="0"/>
        <w:adjustRightInd w:val="0"/>
        <w:ind w:left="1440"/>
        <w:rPr>
          <w:rFonts w:eastAsia="Times New Roman" w:cs="Verdana,Italic"/>
          <w:b/>
          <w:bCs/>
          <w:iCs/>
          <w:sz w:val="20"/>
          <w:szCs w:val="20"/>
        </w:rPr>
      </w:pPr>
    </w:p>
    <w:p w:rsidR="00614D52" w:rsidRPr="00614D52" w:rsidRDefault="00614D52" w:rsidP="00614D52">
      <w:pPr>
        <w:autoSpaceDE w:val="0"/>
        <w:autoSpaceDN w:val="0"/>
        <w:adjustRightInd w:val="0"/>
        <w:rPr>
          <w:rFonts w:eastAsia="Times New Roman" w:cs="Verdana,Italic"/>
          <w:iCs/>
          <w:sz w:val="20"/>
          <w:szCs w:val="20"/>
        </w:rPr>
      </w:pPr>
      <w:r w:rsidRPr="00CE0214">
        <w:rPr>
          <w:rFonts w:eastAsia="Times New Roman" w:cs="Verdana,Italic"/>
          <w:iCs/>
          <w:sz w:val="20"/>
          <w:szCs w:val="20"/>
        </w:rPr>
        <w:t>Les encours de crédit s’établissent à 208</w:t>
      </w:r>
      <w:r w:rsidR="0087198F">
        <w:rPr>
          <w:rFonts w:eastAsia="Times New Roman" w:cs="Verdana,Italic"/>
          <w:iCs/>
          <w:sz w:val="20"/>
          <w:szCs w:val="20"/>
        </w:rPr>
        <w:t> </w:t>
      </w:r>
      <w:r w:rsidRPr="00CE0214">
        <w:rPr>
          <w:rFonts w:eastAsia="Times New Roman" w:cs="Verdana,Italic"/>
          <w:iCs/>
          <w:sz w:val="20"/>
          <w:szCs w:val="20"/>
        </w:rPr>
        <w:t>milliards d’euros à fin septembre 2014, en progression de 5,5 % sur un an.</w:t>
      </w:r>
      <w:r w:rsidRPr="00CE0214">
        <w:rPr>
          <w:rFonts w:cs="Verdana"/>
          <w:sz w:val="20"/>
          <w:szCs w:val="20"/>
        </w:rPr>
        <w:t xml:space="preserve"> L’encours des crédits immobiliers </w:t>
      </w:r>
      <w:r>
        <w:rPr>
          <w:rFonts w:cs="Verdana"/>
          <w:sz w:val="20"/>
          <w:szCs w:val="20"/>
        </w:rPr>
        <w:t>reste</w:t>
      </w:r>
      <w:r w:rsidRPr="00CE0214">
        <w:rPr>
          <w:rFonts w:cs="Verdana"/>
          <w:sz w:val="20"/>
          <w:szCs w:val="20"/>
        </w:rPr>
        <w:t xml:space="preserve"> en hausse </w:t>
      </w:r>
      <w:r>
        <w:rPr>
          <w:rFonts w:cs="Verdana"/>
          <w:sz w:val="20"/>
          <w:szCs w:val="20"/>
        </w:rPr>
        <w:t>soutenue (+</w:t>
      </w:r>
      <w:r w:rsidR="00763446">
        <w:rPr>
          <w:rFonts w:cs="Verdana"/>
          <w:sz w:val="20"/>
          <w:szCs w:val="20"/>
        </w:rPr>
        <w:t> </w:t>
      </w:r>
      <w:r w:rsidRPr="00CE0214">
        <w:rPr>
          <w:rFonts w:cs="Verdana"/>
          <w:sz w:val="20"/>
          <w:szCs w:val="20"/>
        </w:rPr>
        <w:t>7,0</w:t>
      </w:r>
      <w:r w:rsidR="00763446">
        <w:rPr>
          <w:rFonts w:cs="Verdana"/>
          <w:sz w:val="20"/>
          <w:szCs w:val="20"/>
        </w:rPr>
        <w:t> </w:t>
      </w:r>
      <w:r w:rsidRPr="00CE0214">
        <w:rPr>
          <w:rFonts w:cs="Verdana"/>
          <w:sz w:val="20"/>
          <w:szCs w:val="20"/>
        </w:rPr>
        <w:t>%</w:t>
      </w:r>
      <w:r>
        <w:rPr>
          <w:rFonts w:cs="Verdana"/>
          <w:sz w:val="20"/>
          <w:szCs w:val="20"/>
        </w:rPr>
        <w:t xml:space="preserve"> </w:t>
      </w:r>
      <w:r w:rsidR="00C94C73">
        <w:rPr>
          <w:rFonts w:cs="Verdana"/>
          <w:sz w:val="20"/>
          <w:szCs w:val="20"/>
        </w:rPr>
        <w:t xml:space="preserve">au </w:t>
      </w:r>
      <w:r w:rsidR="00182E90">
        <w:rPr>
          <w:rFonts w:cs="Verdana"/>
          <w:sz w:val="20"/>
          <w:szCs w:val="20"/>
        </w:rPr>
        <w:t>30 septembre</w:t>
      </w:r>
      <w:r w:rsidR="00C94C73">
        <w:rPr>
          <w:rFonts w:cs="Verdana"/>
          <w:sz w:val="20"/>
          <w:szCs w:val="20"/>
        </w:rPr>
        <w:t xml:space="preserve"> 2014 par rapport au </w:t>
      </w:r>
      <w:r w:rsidR="00182E90">
        <w:rPr>
          <w:rFonts w:cs="Verdana"/>
          <w:sz w:val="20"/>
          <w:szCs w:val="20"/>
        </w:rPr>
        <w:t>30 septembre</w:t>
      </w:r>
      <w:r w:rsidR="00C94C73">
        <w:rPr>
          <w:rFonts w:cs="Verdana"/>
          <w:sz w:val="20"/>
          <w:szCs w:val="20"/>
        </w:rPr>
        <w:t xml:space="preserve"> 2013</w:t>
      </w:r>
      <w:r>
        <w:rPr>
          <w:rFonts w:cs="Verdana"/>
          <w:sz w:val="20"/>
          <w:szCs w:val="20"/>
        </w:rPr>
        <w:t>)</w:t>
      </w:r>
      <w:r w:rsidRPr="00CE0214">
        <w:rPr>
          <w:rFonts w:cs="Verdana"/>
          <w:sz w:val="20"/>
          <w:szCs w:val="20"/>
        </w:rPr>
        <w:t xml:space="preserve">, </w:t>
      </w:r>
      <w:r>
        <w:rPr>
          <w:rFonts w:cs="Verdana"/>
          <w:sz w:val="20"/>
          <w:szCs w:val="20"/>
        </w:rPr>
        <w:t xml:space="preserve">quoiqu’en ralentissement par rapport à </w:t>
      </w:r>
      <w:r w:rsidRPr="00CE0214">
        <w:rPr>
          <w:rFonts w:cs="Verdana"/>
          <w:sz w:val="20"/>
          <w:szCs w:val="20"/>
        </w:rPr>
        <w:t xml:space="preserve">la croissance </w:t>
      </w:r>
      <w:r w:rsidR="00182E90">
        <w:rPr>
          <w:rFonts w:cs="Verdana"/>
          <w:sz w:val="20"/>
          <w:szCs w:val="20"/>
        </w:rPr>
        <w:t xml:space="preserve">annuelle </w:t>
      </w:r>
      <w:r w:rsidRPr="00CE0214">
        <w:rPr>
          <w:rFonts w:cs="Verdana"/>
          <w:sz w:val="20"/>
          <w:szCs w:val="20"/>
        </w:rPr>
        <w:t xml:space="preserve">observée </w:t>
      </w:r>
      <w:r w:rsidR="00C94C73">
        <w:rPr>
          <w:rFonts w:cs="Verdana"/>
          <w:sz w:val="20"/>
          <w:szCs w:val="20"/>
        </w:rPr>
        <w:t xml:space="preserve">au </w:t>
      </w:r>
      <w:r w:rsidR="00182E90">
        <w:rPr>
          <w:rFonts w:cs="Verdana"/>
          <w:sz w:val="20"/>
          <w:szCs w:val="20"/>
        </w:rPr>
        <w:t>30 juin</w:t>
      </w:r>
      <w:r w:rsidR="00C94C73">
        <w:rPr>
          <w:rFonts w:cs="Verdana"/>
          <w:sz w:val="20"/>
          <w:szCs w:val="20"/>
        </w:rPr>
        <w:t xml:space="preserve"> </w:t>
      </w:r>
      <w:r w:rsidRPr="00CE0214">
        <w:rPr>
          <w:rFonts w:cs="Verdana"/>
          <w:sz w:val="20"/>
          <w:szCs w:val="20"/>
        </w:rPr>
        <w:t>2014 (+</w:t>
      </w:r>
      <w:r w:rsidR="00763446">
        <w:rPr>
          <w:rFonts w:cs="Verdana"/>
          <w:sz w:val="20"/>
          <w:szCs w:val="20"/>
        </w:rPr>
        <w:t> </w:t>
      </w:r>
      <w:r w:rsidRPr="00CE0214">
        <w:rPr>
          <w:rFonts w:cs="Verdana"/>
          <w:sz w:val="20"/>
          <w:szCs w:val="20"/>
        </w:rPr>
        <w:t>8,5</w:t>
      </w:r>
      <w:r w:rsidR="00763446">
        <w:rPr>
          <w:rFonts w:cs="Verdana"/>
          <w:sz w:val="20"/>
          <w:szCs w:val="20"/>
        </w:rPr>
        <w:t> </w:t>
      </w:r>
      <w:r w:rsidRPr="00CE0214">
        <w:rPr>
          <w:rFonts w:cs="Verdana"/>
          <w:sz w:val="20"/>
          <w:szCs w:val="20"/>
        </w:rPr>
        <w:t>%)</w:t>
      </w:r>
      <w:r w:rsidRPr="00CE0214">
        <w:rPr>
          <w:rFonts w:eastAsia="Times New Roman" w:cs="Verdana,Italic"/>
          <w:iCs/>
          <w:sz w:val="20"/>
          <w:szCs w:val="20"/>
        </w:rPr>
        <w:t xml:space="preserve">. </w:t>
      </w:r>
      <w:r>
        <w:rPr>
          <w:rFonts w:eastAsia="Times New Roman" w:cs="Verdana,Italic"/>
          <w:iCs/>
          <w:sz w:val="20"/>
          <w:szCs w:val="20"/>
        </w:rPr>
        <w:t xml:space="preserve">Les encours de </w:t>
      </w:r>
      <w:r w:rsidRPr="00CE0214">
        <w:rPr>
          <w:rFonts w:eastAsia="Times New Roman" w:cs="Verdana,Italic"/>
          <w:iCs/>
          <w:sz w:val="20"/>
          <w:szCs w:val="20"/>
        </w:rPr>
        <w:t>créd</w:t>
      </w:r>
      <w:r w:rsidRPr="00CE0214">
        <w:rPr>
          <w:rFonts w:cs="Verdana"/>
          <w:sz w:val="20"/>
          <w:szCs w:val="20"/>
        </w:rPr>
        <w:t>it à la consommation</w:t>
      </w:r>
      <w:r>
        <w:rPr>
          <w:rFonts w:cs="Verdana"/>
          <w:sz w:val="20"/>
          <w:szCs w:val="20"/>
        </w:rPr>
        <w:t xml:space="preserve"> sont également bien orientés</w:t>
      </w:r>
      <w:r w:rsidRPr="00CE0214">
        <w:rPr>
          <w:rFonts w:cs="Verdana"/>
          <w:sz w:val="20"/>
          <w:szCs w:val="20"/>
        </w:rPr>
        <w:t xml:space="preserve"> (+ 2,3 %), </w:t>
      </w:r>
      <w:r w:rsidRPr="0082187F">
        <w:rPr>
          <w:rFonts w:cs="Verdana"/>
          <w:sz w:val="20"/>
          <w:szCs w:val="20"/>
        </w:rPr>
        <w:t xml:space="preserve">avec une production qui se stabilise à un niveau élevé. </w:t>
      </w:r>
      <w:r>
        <w:rPr>
          <w:rFonts w:eastAsia="Times New Roman" w:cs="Verdana,Italic"/>
          <w:iCs/>
          <w:sz w:val="20"/>
          <w:szCs w:val="20"/>
        </w:rPr>
        <w:t xml:space="preserve">L’encours de crédit à l’équipement </w:t>
      </w:r>
      <w:r w:rsidRPr="0082187F">
        <w:rPr>
          <w:rFonts w:eastAsia="Times New Roman" w:cs="Verdana,Italic"/>
          <w:iCs/>
          <w:sz w:val="20"/>
          <w:szCs w:val="20"/>
        </w:rPr>
        <w:t>progress</w:t>
      </w:r>
      <w:r>
        <w:rPr>
          <w:rFonts w:eastAsia="Times New Roman" w:cs="Verdana,Italic"/>
          <w:iCs/>
          <w:sz w:val="20"/>
          <w:szCs w:val="20"/>
        </w:rPr>
        <w:t>e fortement sur le marché des e</w:t>
      </w:r>
      <w:r w:rsidRPr="0082187F">
        <w:rPr>
          <w:rFonts w:eastAsia="Times New Roman" w:cs="Verdana,Italic"/>
          <w:iCs/>
          <w:sz w:val="20"/>
          <w:szCs w:val="20"/>
        </w:rPr>
        <w:t xml:space="preserve">ntreprises (+ 8,7 %). </w:t>
      </w:r>
    </w:p>
    <w:p w:rsidR="00614D52" w:rsidRDefault="00614D52" w:rsidP="009072A9">
      <w:pPr>
        <w:autoSpaceDE w:val="0"/>
        <w:autoSpaceDN w:val="0"/>
        <w:adjustRightInd w:val="0"/>
        <w:rPr>
          <w:rFonts w:eastAsia="Times New Roman" w:cs="Verdana,Italic"/>
          <w:iCs/>
          <w:color w:val="000000"/>
          <w:sz w:val="20"/>
          <w:szCs w:val="20"/>
        </w:rPr>
      </w:pPr>
    </w:p>
    <w:p w:rsidR="009072A9" w:rsidRPr="00EE1174" w:rsidRDefault="009072A9" w:rsidP="009072A9">
      <w:pPr>
        <w:numPr>
          <w:ilvl w:val="1"/>
          <w:numId w:val="5"/>
        </w:numPr>
        <w:autoSpaceDE w:val="0"/>
        <w:autoSpaceDN w:val="0"/>
        <w:adjustRightInd w:val="0"/>
        <w:spacing w:line="340" w:lineRule="atLeast"/>
        <w:jc w:val="left"/>
        <w:rPr>
          <w:rFonts w:eastAsia="Times New Roman" w:cs="Verdana,Italic"/>
          <w:b/>
          <w:bCs/>
          <w:iCs/>
          <w:color w:val="000000"/>
          <w:sz w:val="20"/>
          <w:szCs w:val="20"/>
        </w:rPr>
      </w:pPr>
      <w:r w:rsidRPr="00EE1174">
        <w:rPr>
          <w:rFonts w:eastAsia="Times New Roman" w:cs="Verdana,Italic"/>
          <w:b/>
          <w:bCs/>
          <w:iCs/>
          <w:color w:val="000000"/>
          <w:sz w:val="20"/>
          <w:szCs w:val="20"/>
        </w:rPr>
        <w:t>Bancassurance</w:t>
      </w:r>
    </w:p>
    <w:p w:rsidR="009072A9" w:rsidRPr="0085658F" w:rsidRDefault="009072A9" w:rsidP="009072A9">
      <w:pPr>
        <w:autoSpaceDE w:val="0"/>
        <w:autoSpaceDN w:val="0"/>
        <w:adjustRightInd w:val="0"/>
        <w:ind w:left="1440"/>
        <w:rPr>
          <w:rFonts w:eastAsia="Times New Roman" w:cs="Verdana,Italic"/>
          <w:b/>
          <w:bCs/>
          <w:iCs/>
          <w:sz w:val="20"/>
          <w:szCs w:val="20"/>
        </w:rPr>
      </w:pPr>
    </w:p>
    <w:p w:rsidR="009072A9" w:rsidRPr="0085658F" w:rsidRDefault="009072A9" w:rsidP="009072A9">
      <w:pPr>
        <w:autoSpaceDE w:val="0"/>
        <w:autoSpaceDN w:val="0"/>
        <w:adjustRightInd w:val="0"/>
        <w:rPr>
          <w:rFonts w:eastAsia="Times New Roman" w:cs="Verdana,Italic"/>
          <w:bCs/>
          <w:iCs/>
          <w:sz w:val="20"/>
          <w:szCs w:val="20"/>
        </w:rPr>
      </w:pPr>
      <w:r w:rsidRPr="0085658F">
        <w:rPr>
          <w:rFonts w:eastAsia="Times New Roman" w:cs="Verdana,Italic"/>
          <w:bCs/>
          <w:iCs/>
          <w:sz w:val="20"/>
          <w:szCs w:val="20"/>
        </w:rPr>
        <w:t xml:space="preserve">Le portefeuille de contrats de prévoyance, dommages et santé progresse de </w:t>
      </w:r>
      <w:r w:rsidR="00076842">
        <w:rPr>
          <w:rFonts w:eastAsia="Times New Roman" w:cs="Verdana,Italic"/>
          <w:bCs/>
          <w:iCs/>
          <w:sz w:val="20"/>
          <w:szCs w:val="20"/>
        </w:rPr>
        <w:t>11</w:t>
      </w:r>
      <w:r w:rsidRPr="0085658F">
        <w:rPr>
          <w:rFonts w:eastAsia="Times New Roman" w:cs="Verdana,Italic"/>
          <w:bCs/>
          <w:iCs/>
          <w:sz w:val="20"/>
          <w:szCs w:val="20"/>
        </w:rPr>
        <w:t>,</w:t>
      </w:r>
      <w:r w:rsidR="00076842">
        <w:rPr>
          <w:rFonts w:eastAsia="Times New Roman" w:cs="Verdana,Italic"/>
          <w:bCs/>
          <w:iCs/>
          <w:sz w:val="20"/>
          <w:szCs w:val="20"/>
        </w:rPr>
        <w:t>5</w:t>
      </w:r>
      <w:r w:rsidRPr="0085658F">
        <w:rPr>
          <w:rFonts w:eastAsia="Times New Roman" w:cs="Verdana,Italic"/>
          <w:bCs/>
          <w:iCs/>
          <w:sz w:val="20"/>
          <w:szCs w:val="20"/>
        </w:rPr>
        <w:t> %.</w:t>
      </w:r>
    </w:p>
    <w:p w:rsidR="009072A9" w:rsidRPr="00EE1174" w:rsidRDefault="009072A9" w:rsidP="009072A9">
      <w:pPr>
        <w:autoSpaceDE w:val="0"/>
        <w:autoSpaceDN w:val="0"/>
        <w:adjustRightInd w:val="0"/>
        <w:rPr>
          <w:rFonts w:eastAsia="Times New Roman" w:cs="Verdana,Italic"/>
          <w:iCs/>
          <w:color w:val="000000"/>
          <w:sz w:val="20"/>
          <w:szCs w:val="20"/>
        </w:rPr>
      </w:pPr>
    </w:p>
    <w:p w:rsidR="009072A9" w:rsidRPr="007F039B" w:rsidRDefault="009072A9" w:rsidP="009072A9">
      <w:pPr>
        <w:numPr>
          <w:ilvl w:val="1"/>
          <w:numId w:val="5"/>
        </w:numPr>
        <w:autoSpaceDE w:val="0"/>
        <w:autoSpaceDN w:val="0"/>
        <w:adjustRightInd w:val="0"/>
        <w:spacing w:line="340" w:lineRule="atLeast"/>
        <w:jc w:val="left"/>
        <w:rPr>
          <w:rFonts w:eastAsia="Times New Roman" w:cs="Verdana,Italic"/>
          <w:b/>
          <w:bCs/>
          <w:iCs/>
          <w:color w:val="000000" w:themeColor="text1"/>
          <w:sz w:val="20"/>
          <w:szCs w:val="20"/>
        </w:rPr>
      </w:pPr>
      <w:r w:rsidRPr="00EE1174">
        <w:rPr>
          <w:rFonts w:eastAsia="Times New Roman" w:cs="Verdana,Italic"/>
          <w:b/>
          <w:bCs/>
          <w:iCs/>
          <w:color w:val="000000"/>
          <w:sz w:val="20"/>
          <w:szCs w:val="20"/>
        </w:rPr>
        <w:t>Résultats financiers</w:t>
      </w:r>
    </w:p>
    <w:p w:rsidR="009072A9" w:rsidRPr="00EE1174" w:rsidRDefault="009072A9" w:rsidP="009072A9">
      <w:pPr>
        <w:autoSpaceDE w:val="0"/>
        <w:autoSpaceDN w:val="0"/>
        <w:adjustRightInd w:val="0"/>
        <w:ind w:left="1440"/>
        <w:rPr>
          <w:rFonts w:eastAsia="Times New Roman" w:cs="Verdana,Italic"/>
          <w:b/>
          <w:bCs/>
          <w:iCs/>
          <w:color w:val="000000"/>
          <w:sz w:val="20"/>
          <w:szCs w:val="20"/>
        </w:rPr>
      </w:pPr>
    </w:p>
    <w:p w:rsidR="009072A9" w:rsidRPr="005A2F30" w:rsidRDefault="009072A9" w:rsidP="009072A9">
      <w:pPr>
        <w:autoSpaceDE w:val="0"/>
        <w:autoSpaceDN w:val="0"/>
        <w:adjustRightInd w:val="0"/>
        <w:rPr>
          <w:rFonts w:eastAsia="Times New Roman" w:cs="Verdana,Italic"/>
          <w:b/>
          <w:iCs/>
          <w:sz w:val="20"/>
          <w:szCs w:val="20"/>
        </w:rPr>
      </w:pPr>
      <w:r w:rsidRPr="005A2F30">
        <w:rPr>
          <w:rFonts w:eastAsia="Times New Roman" w:cs="Verdana,Italic"/>
          <w:iCs/>
          <w:sz w:val="20"/>
          <w:szCs w:val="20"/>
        </w:rPr>
        <w:t>Le</w:t>
      </w:r>
      <w:r w:rsidRPr="005A2F30">
        <w:rPr>
          <w:rFonts w:eastAsia="Times New Roman" w:cs="Verdana,Italic"/>
          <w:b/>
          <w:iCs/>
          <w:sz w:val="20"/>
          <w:szCs w:val="20"/>
        </w:rPr>
        <w:t xml:space="preserve"> produit net bancaire</w:t>
      </w:r>
      <w:r w:rsidR="0087198F">
        <w:rPr>
          <w:rFonts w:eastAsia="Times New Roman" w:cs="Verdana,Italic"/>
          <w:iCs/>
          <w:sz w:val="20"/>
          <w:szCs w:val="20"/>
        </w:rPr>
        <w:t xml:space="preserve"> s’élève à 1 </w:t>
      </w:r>
      <w:r w:rsidRPr="005A2F30">
        <w:rPr>
          <w:rFonts w:eastAsia="Times New Roman" w:cs="Verdana,Italic"/>
          <w:iCs/>
          <w:sz w:val="20"/>
          <w:szCs w:val="20"/>
        </w:rPr>
        <w:t xml:space="preserve">794 millions d’euros au troisième trimestre </w:t>
      </w:r>
      <w:r w:rsidR="00BB074D">
        <w:rPr>
          <w:rFonts w:eastAsia="Times New Roman" w:cs="Verdana,Italic"/>
          <w:iCs/>
          <w:sz w:val="20"/>
          <w:szCs w:val="20"/>
        </w:rPr>
        <w:t xml:space="preserve">2014 </w:t>
      </w:r>
      <w:r w:rsidR="00B00901" w:rsidRPr="005A2F30">
        <w:rPr>
          <w:rFonts w:eastAsia="Times New Roman" w:cs="Verdana,Italic"/>
          <w:iCs/>
          <w:sz w:val="20"/>
          <w:szCs w:val="20"/>
        </w:rPr>
        <w:t xml:space="preserve">(hors variation de </w:t>
      </w:r>
      <w:r w:rsidR="00B00901">
        <w:rPr>
          <w:rFonts w:eastAsia="Times New Roman" w:cs="Verdana,Italic"/>
          <w:iCs/>
          <w:sz w:val="20"/>
          <w:szCs w:val="20"/>
        </w:rPr>
        <w:t>la provision épargne logement),</w:t>
      </w:r>
      <w:r w:rsidR="009F2590">
        <w:rPr>
          <w:rFonts w:eastAsia="Times New Roman" w:cs="Verdana,Italic"/>
          <w:iCs/>
          <w:sz w:val="20"/>
          <w:szCs w:val="20"/>
        </w:rPr>
        <w:t xml:space="preserve"> </w:t>
      </w:r>
      <w:r w:rsidRPr="005A2F30">
        <w:rPr>
          <w:rFonts w:eastAsia="Times New Roman" w:cs="Verdana,Italic"/>
          <w:iCs/>
          <w:sz w:val="20"/>
          <w:szCs w:val="20"/>
        </w:rPr>
        <w:t>en hausse de 2,4 % sur un an.</w:t>
      </w:r>
    </w:p>
    <w:p w:rsidR="009072A9" w:rsidRPr="00DB0AC3" w:rsidRDefault="009072A9" w:rsidP="009072A9">
      <w:pPr>
        <w:autoSpaceDE w:val="0"/>
        <w:autoSpaceDN w:val="0"/>
        <w:adjustRightInd w:val="0"/>
        <w:rPr>
          <w:rFonts w:eastAsia="Times New Roman" w:cs="Verdana,Italic"/>
          <w:iCs/>
          <w:sz w:val="20"/>
          <w:szCs w:val="20"/>
        </w:rPr>
      </w:pPr>
    </w:p>
    <w:p w:rsidR="009072A9" w:rsidRPr="00DB0AC3" w:rsidRDefault="009072A9" w:rsidP="009072A9">
      <w:pPr>
        <w:autoSpaceDE w:val="0"/>
        <w:autoSpaceDN w:val="0"/>
        <w:adjustRightInd w:val="0"/>
        <w:rPr>
          <w:rFonts w:eastAsia="Times New Roman" w:cs="Verdana,Italic"/>
          <w:iCs/>
          <w:sz w:val="20"/>
          <w:szCs w:val="20"/>
        </w:rPr>
      </w:pPr>
      <w:r w:rsidRPr="00DB0AC3">
        <w:rPr>
          <w:rFonts w:eastAsia="Times New Roman" w:cs="Verdana,Italic"/>
          <w:iCs/>
          <w:sz w:val="20"/>
          <w:szCs w:val="20"/>
        </w:rPr>
        <w:t>La marge nette d’intérêt</w:t>
      </w:r>
      <w:r w:rsidR="00B00901">
        <w:rPr>
          <w:rFonts w:eastAsia="Times New Roman" w:cs="Verdana,Italic"/>
          <w:iCs/>
          <w:sz w:val="20"/>
          <w:szCs w:val="20"/>
        </w:rPr>
        <w:t xml:space="preserve"> </w:t>
      </w:r>
      <w:r w:rsidR="00B00901" w:rsidRPr="005A2F30">
        <w:rPr>
          <w:rFonts w:eastAsia="Times New Roman" w:cs="Verdana,Italic"/>
          <w:iCs/>
          <w:sz w:val="20"/>
          <w:szCs w:val="20"/>
        </w:rPr>
        <w:t xml:space="preserve">(hors variation de </w:t>
      </w:r>
      <w:r w:rsidR="00B00901">
        <w:rPr>
          <w:rFonts w:eastAsia="Times New Roman" w:cs="Verdana,Italic"/>
          <w:iCs/>
          <w:sz w:val="20"/>
          <w:szCs w:val="20"/>
        </w:rPr>
        <w:t xml:space="preserve">la provision épargne logement), </w:t>
      </w:r>
      <w:r w:rsidRPr="00DB0AC3">
        <w:rPr>
          <w:rFonts w:eastAsia="Times New Roman" w:cs="Verdana,Italic"/>
          <w:iCs/>
          <w:sz w:val="20"/>
          <w:szCs w:val="20"/>
        </w:rPr>
        <w:t>s’inscrit en forte hausse (+ 9,9 %), bénéficiant d’un effet volume sur les crédits et de la baisse des taux des ressources réglementées. Les commissions diminuen</w:t>
      </w:r>
      <w:r w:rsidR="00614D52">
        <w:rPr>
          <w:rFonts w:eastAsia="Times New Roman" w:cs="Verdana,Italic"/>
          <w:iCs/>
          <w:sz w:val="20"/>
          <w:szCs w:val="20"/>
        </w:rPr>
        <w:t>t de 8,2 %, sous l’effet de la diminution</w:t>
      </w:r>
      <w:r w:rsidRPr="00DB0AC3">
        <w:rPr>
          <w:rFonts w:eastAsia="Times New Roman" w:cs="Verdana,Italic"/>
          <w:iCs/>
          <w:sz w:val="20"/>
          <w:szCs w:val="20"/>
        </w:rPr>
        <w:t xml:space="preserve"> des commissions </w:t>
      </w:r>
      <w:r w:rsidR="009B0F6C">
        <w:rPr>
          <w:rFonts w:eastAsia="Times New Roman" w:cs="Verdana,Italic"/>
          <w:iCs/>
          <w:sz w:val="20"/>
          <w:szCs w:val="20"/>
        </w:rPr>
        <w:t xml:space="preserve">d’intervention et </w:t>
      </w:r>
      <w:r w:rsidRPr="00DB0AC3">
        <w:rPr>
          <w:rFonts w:eastAsia="Times New Roman" w:cs="Verdana,Italic"/>
          <w:iCs/>
          <w:sz w:val="20"/>
          <w:szCs w:val="20"/>
        </w:rPr>
        <w:t>sur épargne réglementée et des moindres indemnités de remboursement anticipé.</w:t>
      </w:r>
    </w:p>
    <w:p w:rsidR="009072A9" w:rsidRPr="00DB0AC3" w:rsidRDefault="009072A9" w:rsidP="009072A9">
      <w:pPr>
        <w:autoSpaceDE w:val="0"/>
        <w:autoSpaceDN w:val="0"/>
        <w:adjustRightInd w:val="0"/>
        <w:rPr>
          <w:rFonts w:eastAsia="Times New Roman" w:cs="Verdana,Italic"/>
          <w:iCs/>
          <w:sz w:val="20"/>
          <w:szCs w:val="20"/>
        </w:rPr>
      </w:pPr>
    </w:p>
    <w:p w:rsidR="009072A9" w:rsidRPr="00DB0AC3" w:rsidRDefault="009072A9" w:rsidP="009072A9">
      <w:pPr>
        <w:autoSpaceDE w:val="0"/>
        <w:autoSpaceDN w:val="0"/>
        <w:adjustRightInd w:val="0"/>
        <w:rPr>
          <w:rFonts w:eastAsia="Times New Roman" w:cs="Verdana,Italic"/>
          <w:iCs/>
          <w:sz w:val="20"/>
          <w:szCs w:val="20"/>
        </w:rPr>
      </w:pPr>
      <w:r w:rsidRPr="00DB0AC3">
        <w:rPr>
          <w:rFonts w:eastAsia="Times New Roman" w:cs="Verdana,Italic"/>
          <w:iCs/>
          <w:sz w:val="20"/>
          <w:szCs w:val="20"/>
        </w:rPr>
        <w:t xml:space="preserve">Les </w:t>
      </w:r>
      <w:r w:rsidRPr="00DB0AC3">
        <w:rPr>
          <w:rFonts w:eastAsia="Times New Roman" w:cs="Verdana,Italic"/>
          <w:b/>
          <w:iCs/>
          <w:sz w:val="20"/>
          <w:szCs w:val="20"/>
        </w:rPr>
        <w:t>frais de gestion</w:t>
      </w:r>
      <w:r w:rsidR="00BB074D">
        <w:rPr>
          <w:rFonts w:eastAsia="Times New Roman" w:cs="Verdana,Italic"/>
          <w:iCs/>
          <w:sz w:val="20"/>
          <w:szCs w:val="20"/>
        </w:rPr>
        <w:t xml:space="preserve"> sont en baisse </w:t>
      </w:r>
      <w:r w:rsidR="00614D52">
        <w:rPr>
          <w:rFonts w:eastAsia="Times New Roman" w:cs="Verdana,Italic"/>
          <w:iCs/>
          <w:sz w:val="20"/>
          <w:szCs w:val="20"/>
        </w:rPr>
        <w:t xml:space="preserve">à </w:t>
      </w:r>
      <w:r w:rsidRPr="00DB0AC3">
        <w:rPr>
          <w:rFonts w:eastAsia="Times New Roman" w:cs="Verdana,Italic"/>
          <w:iCs/>
          <w:sz w:val="20"/>
          <w:szCs w:val="20"/>
        </w:rPr>
        <w:t xml:space="preserve">1 115 millions d’euros sur le trimestre, soit </w:t>
      </w:r>
      <w:r w:rsidR="0087198F">
        <w:rPr>
          <w:rFonts w:eastAsia="Times New Roman" w:cs="Verdana,Italic"/>
          <w:iCs/>
          <w:sz w:val="20"/>
          <w:szCs w:val="20"/>
        </w:rPr>
        <w:t>- 2,1 </w:t>
      </w:r>
      <w:r w:rsidRPr="00DB0AC3">
        <w:rPr>
          <w:rFonts w:eastAsia="Times New Roman" w:cs="Verdana,Italic"/>
          <w:iCs/>
          <w:sz w:val="20"/>
          <w:szCs w:val="20"/>
        </w:rPr>
        <w:t xml:space="preserve">% </w:t>
      </w:r>
      <w:r w:rsidR="00614D52">
        <w:rPr>
          <w:rFonts w:eastAsia="Times New Roman" w:cs="Verdana,Italic"/>
          <w:iCs/>
          <w:sz w:val="20"/>
          <w:szCs w:val="20"/>
        </w:rPr>
        <w:t>par rapport au troisième trimestre 2013</w:t>
      </w:r>
      <w:r w:rsidRPr="00DB0AC3">
        <w:rPr>
          <w:rFonts w:eastAsia="Times New Roman" w:cs="Verdana,Italic"/>
          <w:iCs/>
          <w:sz w:val="20"/>
          <w:szCs w:val="20"/>
        </w:rPr>
        <w:t>.</w:t>
      </w:r>
    </w:p>
    <w:p w:rsidR="009072A9" w:rsidRPr="00DB0AC3" w:rsidRDefault="009072A9" w:rsidP="009072A9">
      <w:pPr>
        <w:autoSpaceDE w:val="0"/>
        <w:autoSpaceDN w:val="0"/>
        <w:adjustRightInd w:val="0"/>
        <w:rPr>
          <w:rFonts w:eastAsia="Times New Roman" w:cs="Verdana,Italic"/>
          <w:iCs/>
          <w:sz w:val="20"/>
          <w:szCs w:val="20"/>
        </w:rPr>
      </w:pPr>
    </w:p>
    <w:p w:rsidR="009072A9" w:rsidRPr="00DB0AC3" w:rsidRDefault="009072A9" w:rsidP="009072A9">
      <w:pPr>
        <w:autoSpaceDE w:val="0"/>
        <w:autoSpaceDN w:val="0"/>
        <w:adjustRightInd w:val="0"/>
        <w:rPr>
          <w:rFonts w:eastAsia="Times New Roman" w:cs="Verdana,Italic"/>
          <w:iCs/>
          <w:sz w:val="20"/>
          <w:szCs w:val="20"/>
        </w:rPr>
      </w:pPr>
      <w:r w:rsidRPr="00DB0AC3">
        <w:rPr>
          <w:rFonts w:eastAsia="Times New Roman" w:cs="Verdana,Italic"/>
          <w:iCs/>
          <w:sz w:val="20"/>
          <w:szCs w:val="20"/>
        </w:rPr>
        <w:lastRenderedPageBreak/>
        <w:t xml:space="preserve">Le </w:t>
      </w:r>
      <w:r w:rsidRPr="00DB0AC3">
        <w:rPr>
          <w:rFonts w:eastAsia="Times New Roman" w:cs="Verdana,Italic"/>
          <w:b/>
          <w:iCs/>
          <w:sz w:val="20"/>
          <w:szCs w:val="20"/>
        </w:rPr>
        <w:t>résultat brut d’exploitation</w:t>
      </w:r>
      <w:r w:rsidRPr="00DB0AC3">
        <w:rPr>
          <w:rFonts w:eastAsia="Times New Roman" w:cs="Verdana,Italic"/>
          <w:iCs/>
          <w:sz w:val="20"/>
          <w:szCs w:val="20"/>
        </w:rPr>
        <w:t xml:space="preserve"> </w:t>
      </w:r>
      <w:r>
        <w:rPr>
          <w:rFonts w:eastAsia="Times New Roman" w:cs="Verdana,Italic"/>
          <w:iCs/>
          <w:sz w:val="20"/>
          <w:szCs w:val="20"/>
        </w:rPr>
        <w:t xml:space="preserve">enregistre une progression </w:t>
      </w:r>
      <w:r w:rsidRPr="00DB0AC3">
        <w:rPr>
          <w:rFonts w:eastAsia="Times New Roman" w:cs="Verdana,Italic"/>
          <w:iCs/>
          <w:sz w:val="20"/>
          <w:szCs w:val="20"/>
        </w:rPr>
        <w:t>de 13</w:t>
      </w:r>
      <w:r>
        <w:rPr>
          <w:rFonts w:eastAsia="Times New Roman" w:cs="Verdana,Italic"/>
          <w:iCs/>
          <w:sz w:val="20"/>
          <w:szCs w:val="20"/>
        </w:rPr>
        <w:t xml:space="preserve">,4 % </w:t>
      </w:r>
      <w:r w:rsidRPr="00DB0AC3">
        <w:rPr>
          <w:rFonts w:eastAsia="Times New Roman" w:cs="Verdana,Italic"/>
          <w:iCs/>
          <w:sz w:val="20"/>
          <w:szCs w:val="20"/>
        </w:rPr>
        <w:t>à 68</w:t>
      </w:r>
      <w:r w:rsidR="00BA2D3C">
        <w:rPr>
          <w:rFonts w:eastAsia="Times New Roman" w:cs="Verdana,Italic"/>
          <w:iCs/>
          <w:sz w:val="20"/>
          <w:szCs w:val="20"/>
        </w:rPr>
        <w:t>1 </w:t>
      </w:r>
      <w:r>
        <w:rPr>
          <w:rFonts w:eastAsia="Times New Roman" w:cs="Verdana,Italic"/>
          <w:iCs/>
          <w:sz w:val="20"/>
          <w:szCs w:val="20"/>
        </w:rPr>
        <w:t>millions d’euros</w:t>
      </w:r>
      <w:r w:rsidR="00343D2C">
        <w:rPr>
          <w:rFonts w:eastAsia="Times New Roman" w:cs="Verdana,Italic"/>
          <w:iCs/>
          <w:sz w:val="20"/>
          <w:szCs w:val="20"/>
        </w:rPr>
        <w:t xml:space="preserve"> au troisième trimestre 2014</w:t>
      </w:r>
      <w:r>
        <w:rPr>
          <w:rFonts w:eastAsia="Times New Roman" w:cs="Verdana,Italic"/>
          <w:iCs/>
          <w:sz w:val="20"/>
          <w:szCs w:val="20"/>
        </w:rPr>
        <w:t>.</w:t>
      </w:r>
    </w:p>
    <w:p w:rsidR="009072A9" w:rsidRPr="00DB0AC3" w:rsidRDefault="009072A9" w:rsidP="009072A9">
      <w:pPr>
        <w:autoSpaceDE w:val="0"/>
        <w:autoSpaceDN w:val="0"/>
        <w:adjustRightInd w:val="0"/>
        <w:rPr>
          <w:rFonts w:eastAsia="Times New Roman" w:cs="Verdana,Italic"/>
          <w:iCs/>
          <w:sz w:val="20"/>
          <w:szCs w:val="20"/>
        </w:rPr>
      </w:pPr>
    </w:p>
    <w:p w:rsidR="009072A9" w:rsidRPr="00DB0AC3" w:rsidRDefault="009072A9" w:rsidP="009072A9">
      <w:pPr>
        <w:autoSpaceDE w:val="0"/>
        <w:autoSpaceDN w:val="0"/>
        <w:adjustRightInd w:val="0"/>
        <w:rPr>
          <w:rFonts w:eastAsia="Times New Roman" w:cs="Verdana,Italic"/>
          <w:b/>
          <w:iCs/>
          <w:sz w:val="20"/>
          <w:szCs w:val="20"/>
        </w:rPr>
      </w:pPr>
      <w:r w:rsidRPr="00DB0AC3">
        <w:rPr>
          <w:rFonts w:eastAsia="Times New Roman" w:cs="Verdana,Italic"/>
          <w:iCs/>
          <w:sz w:val="20"/>
          <w:szCs w:val="20"/>
        </w:rPr>
        <w:t>Le </w:t>
      </w:r>
      <w:r w:rsidRPr="00DB0AC3">
        <w:rPr>
          <w:rFonts w:eastAsia="Times New Roman" w:cs="Verdana,Italic"/>
          <w:b/>
          <w:iCs/>
          <w:sz w:val="20"/>
          <w:szCs w:val="20"/>
        </w:rPr>
        <w:t>coefficient d’exploitation</w:t>
      </w:r>
      <w:r w:rsidRPr="00DB0AC3">
        <w:rPr>
          <w:rFonts w:eastAsia="Times New Roman" w:cs="Verdana,Italic"/>
          <w:iCs/>
          <w:sz w:val="20"/>
          <w:szCs w:val="20"/>
        </w:rPr>
        <w:t xml:space="preserve"> </w:t>
      </w:r>
      <w:r>
        <w:rPr>
          <w:rFonts w:eastAsia="Times New Roman" w:cs="Verdana,Italic"/>
          <w:iCs/>
          <w:sz w:val="20"/>
          <w:szCs w:val="20"/>
        </w:rPr>
        <w:t>s’améliore, en baisse de 3</w:t>
      </w:r>
      <w:r w:rsidRPr="00DB0AC3">
        <w:rPr>
          <w:rFonts w:eastAsia="Times New Roman" w:cs="Verdana,Italic"/>
          <w:iCs/>
          <w:sz w:val="20"/>
          <w:szCs w:val="20"/>
        </w:rPr>
        <w:t>,</w:t>
      </w:r>
      <w:r>
        <w:rPr>
          <w:rFonts w:eastAsia="Times New Roman" w:cs="Verdana,Italic"/>
          <w:iCs/>
          <w:sz w:val="20"/>
          <w:szCs w:val="20"/>
        </w:rPr>
        <w:t>4</w:t>
      </w:r>
      <w:r w:rsidRPr="00DB0AC3">
        <w:rPr>
          <w:rFonts w:eastAsia="Times New Roman" w:cs="Verdana,Italic"/>
          <w:iCs/>
          <w:sz w:val="20"/>
          <w:szCs w:val="20"/>
        </w:rPr>
        <w:t xml:space="preserve"> point</w:t>
      </w:r>
      <w:r>
        <w:rPr>
          <w:rFonts w:eastAsia="Times New Roman" w:cs="Verdana,Italic"/>
          <w:iCs/>
          <w:sz w:val="20"/>
          <w:szCs w:val="20"/>
        </w:rPr>
        <w:t>s</w:t>
      </w:r>
      <w:r w:rsidRPr="00DB0AC3">
        <w:rPr>
          <w:rFonts w:eastAsia="Times New Roman" w:cs="Verdana,Italic"/>
          <w:iCs/>
          <w:sz w:val="20"/>
          <w:szCs w:val="20"/>
        </w:rPr>
        <w:t>, à 6</w:t>
      </w:r>
      <w:r>
        <w:rPr>
          <w:rFonts w:eastAsia="Times New Roman" w:cs="Verdana,Italic"/>
          <w:iCs/>
          <w:sz w:val="20"/>
          <w:szCs w:val="20"/>
        </w:rPr>
        <w:t>2</w:t>
      </w:r>
      <w:r w:rsidRPr="00DB0AC3">
        <w:rPr>
          <w:rFonts w:eastAsia="Times New Roman" w:cs="Verdana,Italic"/>
          <w:iCs/>
          <w:sz w:val="20"/>
          <w:szCs w:val="20"/>
        </w:rPr>
        <w:t>,</w:t>
      </w:r>
      <w:r>
        <w:rPr>
          <w:rFonts w:eastAsia="Times New Roman" w:cs="Verdana,Italic"/>
          <w:iCs/>
          <w:sz w:val="20"/>
          <w:szCs w:val="20"/>
        </w:rPr>
        <w:t>1</w:t>
      </w:r>
      <w:r w:rsidRPr="00DB0AC3">
        <w:rPr>
          <w:rFonts w:eastAsia="Times New Roman" w:cs="Verdana,Italic"/>
          <w:iCs/>
          <w:sz w:val="20"/>
          <w:szCs w:val="20"/>
        </w:rPr>
        <w:t> %</w:t>
      </w:r>
      <w:r w:rsidR="006D493D">
        <w:rPr>
          <w:rFonts w:eastAsia="Times New Roman" w:cs="Verdana,Italic"/>
          <w:iCs/>
          <w:sz w:val="20"/>
          <w:szCs w:val="20"/>
        </w:rPr>
        <w:t xml:space="preserve"> au troisième trimestre 2014</w:t>
      </w:r>
      <w:r w:rsidRPr="00DB0AC3">
        <w:rPr>
          <w:rFonts w:eastAsia="Times New Roman" w:cs="Verdana,Italic"/>
          <w:iCs/>
          <w:sz w:val="20"/>
          <w:szCs w:val="20"/>
        </w:rPr>
        <w:t>.</w:t>
      </w:r>
    </w:p>
    <w:p w:rsidR="009072A9" w:rsidRPr="00DB0AC3" w:rsidRDefault="009072A9" w:rsidP="009072A9">
      <w:pPr>
        <w:autoSpaceDE w:val="0"/>
        <w:autoSpaceDN w:val="0"/>
        <w:adjustRightInd w:val="0"/>
        <w:rPr>
          <w:rFonts w:eastAsia="Times New Roman" w:cs="Verdana,Italic"/>
          <w:b/>
          <w:iCs/>
          <w:sz w:val="20"/>
          <w:szCs w:val="20"/>
        </w:rPr>
      </w:pPr>
    </w:p>
    <w:p w:rsidR="009072A9" w:rsidRPr="00DB0AC3" w:rsidRDefault="009072A9" w:rsidP="009072A9">
      <w:pPr>
        <w:autoSpaceDE w:val="0"/>
        <w:autoSpaceDN w:val="0"/>
        <w:adjustRightInd w:val="0"/>
        <w:rPr>
          <w:rFonts w:eastAsia="Times New Roman" w:cs="Verdana,Italic"/>
          <w:iCs/>
          <w:sz w:val="20"/>
          <w:szCs w:val="20"/>
        </w:rPr>
      </w:pPr>
      <w:r w:rsidRPr="00DB0AC3">
        <w:rPr>
          <w:rFonts w:eastAsia="Times New Roman" w:cs="Verdana,Italic"/>
          <w:iCs/>
          <w:sz w:val="20"/>
          <w:szCs w:val="20"/>
        </w:rPr>
        <w:t xml:space="preserve">Le </w:t>
      </w:r>
      <w:r w:rsidRPr="00DB0AC3">
        <w:rPr>
          <w:rFonts w:eastAsia="Times New Roman" w:cs="Verdana,Italic"/>
          <w:b/>
          <w:iCs/>
          <w:sz w:val="20"/>
          <w:szCs w:val="20"/>
        </w:rPr>
        <w:t>coût du risque</w:t>
      </w:r>
      <w:r w:rsidRPr="00DB0AC3">
        <w:rPr>
          <w:rFonts w:eastAsia="Times New Roman" w:cs="Verdana,Italic"/>
          <w:iCs/>
          <w:sz w:val="20"/>
          <w:szCs w:val="20"/>
        </w:rPr>
        <w:t xml:space="preserve"> s’établit à </w:t>
      </w:r>
      <w:r w:rsidR="00673138">
        <w:rPr>
          <w:rFonts w:eastAsia="Times New Roman" w:cs="Verdana,Italic"/>
          <w:iCs/>
          <w:sz w:val="20"/>
          <w:szCs w:val="20"/>
        </w:rPr>
        <w:t>149</w:t>
      </w:r>
      <w:r w:rsidRPr="00DB0AC3">
        <w:rPr>
          <w:rFonts w:eastAsia="Times New Roman" w:cs="Verdana,Italic"/>
          <w:iCs/>
          <w:sz w:val="20"/>
          <w:szCs w:val="20"/>
        </w:rPr>
        <w:t xml:space="preserve"> millions d’euros, en augmentation de </w:t>
      </w:r>
      <w:r w:rsidR="00193A82">
        <w:rPr>
          <w:rFonts w:eastAsia="Times New Roman" w:cs="Verdana,Italic"/>
          <w:iCs/>
          <w:sz w:val="20"/>
          <w:szCs w:val="20"/>
        </w:rPr>
        <w:t>9,9</w:t>
      </w:r>
      <w:r w:rsidRPr="00DB0AC3">
        <w:rPr>
          <w:rFonts w:eastAsia="Times New Roman" w:cs="Verdana,Italic"/>
          <w:iCs/>
          <w:sz w:val="20"/>
          <w:szCs w:val="20"/>
        </w:rPr>
        <w:t> %</w:t>
      </w:r>
      <w:r w:rsidR="00196FC6">
        <w:rPr>
          <w:rFonts w:eastAsia="Times New Roman" w:cs="Verdana,Italic"/>
          <w:iCs/>
          <w:sz w:val="20"/>
          <w:szCs w:val="20"/>
        </w:rPr>
        <w:t>, mais reste à un niveau modéré (29 points de base au troisième trimestre 2014 contre 27 points de base au troisième trimestre 2013)</w:t>
      </w:r>
      <w:r w:rsidRPr="00DB0AC3">
        <w:rPr>
          <w:rFonts w:eastAsia="Times New Roman" w:cs="Verdana,Italic"/>
          <w:iCs/>
          <w:sz w:val="20"/>
          <w:szCs w:val="20"/>
        </w:rPr>
        <w:t>.</w:t>
      </w:r>
    </w:p>
    <w:p w:rsidR="009072A9" w:rsidRPr="003440CA" w:rsidRDefault="009072A9" w:rsidP="009072A9">
      <w:pPr>
        <w:autoSpaceDE w:val="0"/>
        <w:autoSpaceDN w:val="0"/>
        <w:adjustRightInd w:val="0"/>
        <w:rPr>
          <w:rFonts w:eastAsia="Times New Roman" w:cs="Verdana,Italic"/>
          <w:iCs/>
          <w:sz w:val="20"/>
          <w:szCs w:val="20"/>
        </w:rPr>
      </w:pPr>
    </w:p>
    <w:p w:rsidR="009072A9" w:rsidRPr="003440CA" w:rsidRDefault="009072A9" w:rsidP="009072A9">
      <w:pPr>
        <w:autoSpaceDE w:val="0"/>
        <w:autoSpaceDN w:val="0"/>
        <w:adjustRightInd w:val="0"/>
        <w:rPr>
          <w:rFonts w:eastAsia="Times New Roman" w:cs="Verdana,Italic"/>
          <w:iCs/>
          <w:sz w:val="20"/>
          <w:szCs w:val="20"/>
        </w:rPr>
      </w:pPr>
      <w:r w:rsidRPr="003440CA">
        <w:rPr>
          <w:rFonts w:eastAsia="Times New Roman" w:cs="Verdana,Italic"/>
          <w:iCs/>
          <w:sz w:val="20"/>
          <w:szCs w:val="20"/>
        </w:rPr>
        <w:t xml:space="preserve">Le réseau Caisse d’Epargne contribue </w:t>
      </w:r>
      <w:r w:rsidRPr="003440CA">
        <w:rPr>
          <w:rFonts w:eastAsia="Times New Roman" w:cs="Verdana,Italic"/>
          <w:b/>
          <w:iCs/>
          <w:sz w:val="20"/>
          <w:szCs w:val="20"/>
        </w:rPr>
        <w:t>au résultat avant impôt du Groupe BPCE</w:t>
      </w:r>
      <w:r w:rsidRPr="003440CA">
        <w:rPr>
          <w:rFonts w:eastAsia="Times New Roman" w:cs="Verdana,Italic"/>
          <w:iCs/>
          <w:sz w:val="20"/>
          <w:szCs w:val="20"/>
        </w:rPr>
        <w:t xml:space="preserve"> à hauteur de 532</w:t>
      </w:r>
      <w:r w:rsidR="0087198F">
        <w:rPr>
          <w:rFonts w:eastAsia="Times New Roman" w:cs="Verdana,Italic"/>
          <w:iCs/>
          <w:sz w:val="20"/>
          <w:szCs w:val="20"/>
        </w:rPr>
        <w:t> </w:t>
      </w:r>
      <w:r w:rsidRPr="003440CA">
        <w:rPr>
          <w:rFonts w:eastAsia="Times New Roman" w:cs="Verdana,Italic"/>
          <w:iCs/>
          <w:sz w:val="20"/>
          <w:szCs w:val="20"/>
        </w:rPr>
        <w:t xml:space="preserve">millions d’euros au </w:t>
      </w:r>
      <w:r>
        <w:rPr>
          <w:rFonts w:eastAsia="Times New Roman" w:cs="Verdana,Italic"/>
          <w:iCs/>
          <w:sz w:val="20"/>
          <w:szCs w:val="20"/>
        </w:rPr>
        <w:t>troisième</w:t>
      </w:r>
      <w:r w:rsidRPr="003440CA">
        <w:rPr>
          <w:rFonts w:eastAsia="Times New Roman" w:cs="Verdana,Italic"/>
          <w:iCs/>
          <w:sz w:val="20"/>
          <w:szCs w:val="20"/>
        </w:rPr>
        <w:t xml:space="preserve"> </w:t>
      </w:r>
      <w:r>
        <w:rPr>
          <w:rFonts w:eastAsia="Times New Roman" w:cs="Verdana,Italic"/>
          <w:iCs/>
          <w:sz w:val="20"/>
          <w:szCs w:val="20"/>
        </w:rPr>
        <w:t>trimestre</w:t>
      </w:r>
      <w:r w:rsidRPr="003440CA">
        <w:rPr>
          <w:rFonts w:eastAsia="Times New Roman" w:cs="Verdana,Italic"/>
          <w:iCs/>
          <w:sz w:val="20"/>
          <w:szCs w:val="20"/>
        </w:rPr>
        <w:t xml:space="preserve"> 2014</w:t>
      </w:r>
      <w:r>
        <w:rPr>
          <w:rFonts w:eastAsia="Times New Roman" w:cs="Verdana,Italic"/>
          <w:iCs/>
          <w:sz w:val="20"/>
          <w:szCs w:val="20"/>
        </w:rPr>
        <w:t>, en hausse de 14</w:t>
      </w:r>
      <w:r w:rsidRPr="003440CA">
        <w:rPr>
          <w:rFonts w:eastAsia="Times New Roman" w:cs="Verdana,Italic"/>
          <w:iCs/>
          <w:sz w:val="20"/>
          <w:szCs w:val="20"/>
        </w:rPr>
        <w:t>,</w:t>
      </w:r>
      <w:r>
        <w:rPr>
          <w:rFonts w:eastAsia="Times New Roman" w:cs="Verdana,Italic"/>
          <w:iCs/>
          <w:sz w:val="20"/>
          <w:szCs w:val="20"/>
        </w:rPr>
        <w:t>5</w:t>
      </w:r>
      <w:r w:rsidRPr="003440CA">
        <w:rPr>
          <w:rFonts w:eastAsia="Times New Roman" w:cs="Verdana,Italic"/>
          <w:iCs/>
          <w:sz w:val="20"/>
          <w:szCs w:val="20"/>
        </w:rPr>
        <w:t xml:space="preserve"> %. </w:t>
      </w:r>
      <w:r w:rsidR="00182E90">
        <w:rPr>
          <w:rFonts w:eastAsia="Times New Roman" w:cs="Verdana,Italic"/>
          <w:iCs/>
          <w:sz w:val="20"/>
          <w:szCs w:val="20"/>
        </w:rPr>
        <w:t>Sur les neuf premiers mois de 2014, la contribution au résultat avant impôt du groupe augmente de 5,6 % à 1 467 millions d’euros.</w:t>
      </w:r>
    </w:p>
    <w:p w:rsidR="009072A9" w:rsidRPr="00EE1174" w:rsidRDefault="009072A9" w:rsidP="009072A9">
      <w:pPr>
        <w:tabs>
          <w:tab w:val="left" w:pos="426"/>
        </w:tabs>
        <w:rPr>
          <w:rFonts w:eastAsia="Times New Roman" w:cs="Times New Roman"/>
          <w:b/>
          <w:color w:val="FF6600"/>
          <w:sz w:val="20"/>
          <w:szCs w:val="20"/>
        </w:rPr>
      </w:pPr>
    </w:p>
    <w:p w:rsidR="00585FB8" w:rsidRPr="00EE1174" w:rsidRDefault="00585FB8" w:rsidP="005837B5">
      <w:pPr>
        <w:tabs>
          <w:tab w:val="left" w:pos="426"/>
        </w:tabs>
        <w:rPr>
          <w:rFonts w:eastAsia="Times New Roman" w:cs="Times New Roman"/>
          <w:b/>
          <w:color w:val="FF6600"/>
          <w:sz w:val="20"/>
          <w:szCs w:val="20"/>
        </w:rPr>
      </w:pPr>
    </w:p>
    <w:p w:rsidR="00D0624A" w:rsidRPr="007D6901" w:rsidRDefault="00D0624A" w:rsidP="00D0624A">
      <w:pPr>
        <w:tabs>
          <w:tab w:val="left" w:pos="426"/>
        </w:tabs>
        <w:rPr>
          <w:rFonts w:eastAsia="Times New Roman" w:cs="Times New Roman"/>
          <w:b/>
          <w:color w:val="581D74"/>
          <w:sz w:val="20"/>
          <w:szCs w:val="20"/>
        </w:rPr>
      </w:pPr>
      <w:r w:rsidRPr="007D6901">
        <w:rPr>
          <w:rFonts w:eastAsia="Times New Roman" w:cs="Times New Roman"/>
          <w:b/>
          <w:color w:val="FF6600"/>
          <w:sz w:val="20"/>
          <w:szCs w:val="20"/>
        </w:rPr>
        <w:t>3.</w:t>
      </w:r>
      <w:r>
        <w:rPr>
          <w:rFonts w:eastAsia="Times New Roman" w:cs="Times New Roman"/>
          <w:b/>
          <w:color w:val="FF6600"/>
          <w:sz w:val="20"/>
          <w:szCs w:val="20"/>
        </w:rPr>
        <w:t>1.3</w:t>
      </w:r>
      <w:r w:rsidRPr="007D6901">
        <w:rPr>
          <w:rFonts w:eastAsia="Times New Roman" w:cs="Times New Roman"/>
          <w:b/>
          <w:color w:val="FF6600"/>
          <w:sz w:val="20"/>
          <w:szCs w:val="20"/>
        </w:rPr>
        <w:t xml:space="preserve"> </w:t>
      </w:r>
      <w:r w:rsidRPr="007D6901">
        <w:rPr>
          <w:rFonts w:eastAsia="Times New Roman" w:cs="Times New Roman"/>
          <w:b/>
          <w:color w:val="7030A0"/>
          <w:sz w:val="20"/>
          <w:szCs w:val="20"/>
        </w:rPr>
        <w:t xml:space="preserve"> </w:t>
      </w:r>
      <w:r>
        <w:rPr>
          <w:rFonts w:eastAsia="Times New Roman" w:cs="Times New Roman"/>
          <w:b/>
          <w:color w:val="581D74"/>
          <w:sz w:val="20"/>
          <w:szCs w:val="20"/>
        </w:rPr>
        <w:t>Assurance et Autres réseaux</w:t>
      </w:r>
      <w:r w:rsidRPr="000037DB">
        <w:rPr>
          <w:rFonts w:eastAsia="Times New Roman" w:cs="Times New Roman"/>
          <w:b/>
          <w:color w:val="581D74"/>
          <w:sz w:val="20"/>
          <w:szCs w:val="20"/>
        </w:rPr>
        <w:t xml:space="preserve"> </w:t>
      </w:r>
      <w:r>
        <w:rPr>
          <w:rFonts w:eastAsia="Times New Roman" w:cs="Times New Roman"/>
          <w:b/>
          <w:color w:val="581D74"/>
          <w:sz w:val="20"/>
          <w:szCs w:val="20"/>
        </w:rPr>
        <w:br/>
      </w:r>
      <w:r>
        <w:rPr>
          <w:rFonts w:eastAsia="Times New Roman" w:cs="Times New Roman"/>
          <w:b/>
          <w:color w:val="581D74"/>
          <w:sz w:val="20"/>
          <w:szCs w:val="20"/>
        </w:rPr>
        <w:tab/>
      </w:r>
      <w:r>
        <w:rPr>
          <w:rFonts w:eastAsia="Times New Roman" w:cs="Times New Roman"/>
          <w:b/>
          <w:color w:val="581D74"/>
          <w:sz w:val="20"/>
          <w:szCs w:val="20"/>
        </w:rPr>
        <w:tab/>
        <w:t>(</w:t>
      </w:r>
      <w:r w:rsidR="00A83EC9">
        <w:rPr>
          <w:rFonts w:eastAsia="Times New Roman" w:cs="Times New Roman"/>
          <w:b/>
          <w:color w:val="581D74"/>
          <w:sz w:val="20"/>
          <w:szCs w:val="20"/>
        </w:rPr>
        <w:t xml:space="preserve">Financement de l’Immobilier, Assurance, </w:t>
      </w:r>
      <w:r>
        <w:rPr>
          <w:rFonts w:eastAsia="Times New Roman" w:cs="Times New Roman"/>
          <w:b/>
          <w:color w:val="581D74"/>
          <w:sz w:val="20"/>
          <w:szCs w:val="20"/>
        </w:rPr>
        <w:t>BPCE IOM</w:t>
      </w:r>
      <w:r w:rsidR="00A83EC9">
        <w:rPr>
          <w:rFonts w:eastAsia="Times New Roman" w:cs="Times New Roman"/>
          <w:b/>
          <w:color w:val="581D74"/>
          <w:sz w:val="20"/>
          <w:szCs w:val="20"/>
        </w:rPr>
        <w:t xml:space="preserve"> et</w:t>
      </w:r>
      <w:r>
        <w:rPr>
          <w:rFonts w:eastAsia="Times New Roman" w:cs="Times New Roman"/>
          <w:b/>
          <w:color w:val="581D74"/>
          <w:sz w:val="20"/>
          <w:szCs w:val="20"/>
        </w:rPr>
        <w:t xml:space="preserve"> Banque Palatine)</w:t>
      </w:r>
    </w:p>
    <w:p w:rsidR="00D0624A" w:rsidRDefault="00D0624A" w:rsidP="00D0624A">
      <w:pPr>
        <w:tabs>
          <w:tab w:val="left" w:pos="426"/>
        </w:tabs>
        <w:rPr>
          <w:rFonts w:eastAsia="Times New Roman" w:cs="Times New Roman"/>
          <w:b/>
          <w:color w:val="581D74"/>
          <w:sz w:val="20"/>
          <w:szCs w:val="20"/>
        </w:rPr>
      </w:pPr>
    </w:p>
    <w:p w:rsidR="00A83EC9" w:rsidRPr="0028614D" w:rsidRDefault="00A83EC9" w:rsidP="00A83EC9">
      <w:pPr>
        <w:numPr>
          <w:ilvl w:val="1"/>
          <w:numId w:val="4"/>
        </w:numPr>
        <w:tabs>
          <w:tab w:val="clear" w:pos="1440"/>
          <w:tab w:val="left" w:pos="426"/>
          <w:tab w:val="num" w:pos="720"/>
          <w:tab w:val="num" w:pos="993"/>
        </w:tabs>
        <w:spacing w:before="60" w:line="340" w:lineRule="atLeast"/>
        <w:ind w:left="993" w:hanging="284"/>
        <w:jc w:val="left"/>
        <w:rPr>
          <w:rFonts w:eastAsia="Times New Roman" w:cs="Verdana"/>
          <w:b/>
          <w:sz w:val="20"/>
          <w:szCs w:val="20"/>
        </w:rPr>
      </w:pPr>
      <w:r>
        <w:rPr>
          <w:rFonts w:eastAsia="Times New Roman" w:cs="Verdana"/>
          <w:b/>
          <w:sz w:val="20"/>
          <w:szCs w:val="20"/>
        </w:rPr>
        <w:t>F</w:t>
      </w:r>
      <w:r w:rsidRPr="0028614D">
        <w:rPr>
          <w:rFonts w:eastAsia="Times New Roman" w:cs="Verdana"/>
          <w:b/>
          <w:sz w:val="20"/>
          <w:szCs w:val="20"/>
        </w:rPr>
        <w:t xml:space="preserve">inancement de l’Immobilier </w:t>
      </w:r>
    </w:p>
    <w:p w:rsidR="00A83EC9" w:rsidRPr="007D6901" w:rsidRDefault="00A83EC9" w:rsidP="00A83EC9">
      <w:pPr>
        <w:rPr>
          <w:rFonts w:eastAsia="Times New Roman" w:cs="Times New Roman"/>
          <w:i/>
          <w:color w:val="825D69"/>
          <w:sz w:val="20"/>
          <w:szCs w:val="20"/>
        </w:rPr>
      </w:pPr>
    </w:p>
    <w:p w:rsidR="00A83EC9" w:rsidRPr="00DF24F2" w:rsidRDefault="00A83EC9" w:rsidP="00A83EC9">
      <w:pPr>
        <w:rPr>
          <w:rFonts w:eastAsia="Times New Roman" w:cs="Times New Roman"/>
          <w:i/>
          <w:sz w:val="18"/>
          <w:szCs w:val="18"/>
        </w:rPr>
      </w:pPr>
      <w:r w:rsidRPr="00DF24F2">
        <w:rPr>
          <w:rFonts w:eastAsia="Times New Roman" w:cs="Times New Roman"/>
          <w:i/>
          <w:sz w:val="18"/>
          <w:szCs w:val="18"/>
        </w:rPr>
        <w:t>Le Crédit Foncier est la principale composante du pôle Financement de l’Immobilier.</w:t>
      </w:r>
    </w:p>
    <w:p w:rsidR="00A83EC9" w:rsidRPr="00A52285" w:rsidRDefault="00A83EC9" w:rsidP="00A83EC9">
      <w:pPr>
        <w:rPr>
          <w:rFonts w:eastAsia="Times New Roman" w:cs="Times New Roman"/>
          <w:color w:val="FF0000"/>
          <w:sz w:val="20"/>
          <w:szCs w:val="20"/>
        </w:rPr>
      </w:pPr>
    </w:p>
    <w:p w:rsidR="00A83EC9" w:rsidRDefault="00A83EC9" w:rsidP="00A83EC9">
      <w:pPr>
        <w:spacing w:before="120"/>
        <w:rPr>
          <w:rFonts w:eastAsia="Times New Roman" w:cs="Verdana"/>
          <w:sz w:val="20"/>
          <w:szCs w:val="20"/>
        </w:rPr>
      </w:pPr>
      <w:r w:rsidRPr="00CE0214">
        <w:rPr>
          <w:rFonts w:eastAsia="Times New Roman"/>
          <w:sz w:val="20"/>
          <w:szCs w:val="20"/>
        </w:rPr>
        <w:t>Au troisième trimestre 2014, la production totale de crédits à 2,6 milliards d’euros</w:t>
      </w:r>
      <w:r>
        <w:rPr>
          <w:rFonts w:eastAsia="Times New Roman"/>
          <w:sz w:val="20"/>
          <w:szCs w:val="20"/>
        </w:rPr>
        <w:t xml:space="preserve">, reste </w:t>
      </w:r>
      <w:r w:rsidRPr="00CE0214">
        <w:rPr>
          <w:rFonts w:eastAsia="Times New Roman"/>
          <w:sz w:val="20"/>
          <w:szCs w:val="20"/>
        </w:rPr>
        <w:t>stable par rapport au troisième trimestre 2013</w:t>
      </w:r>
      <w:r>
        <w:rPr>
          <w:rFonts w:eastAsia="Times New Roman"/>
          <w:sz w:val="20"/>
          <w:szCs w:val="20"/>
        </w:rPr>
        <w:t>, tant sur les particuliers (1,9</w:t>
      </w:r>
      <w:r w:rsidR="0087198F">
        <w:rPr>
          <w:rFonts w:eastAsia="Times New Roman"/>
          <w:sz w:val="20"/>
          <w:szCs w:val="20"/>
        </w:rPr>
        <w:t> milliard d’euros</w:t>
      </w:r>
      <w:r>
        <w:rPr>
          <w:rFonts w:eastAsia="Times New Roman"/>
          <w:sz w:val="20"/>
          <w:szCs w:val="20"/>
        </w:rPr>
        <w:t>)</w:t>
      </w:r>
      <w:r w:rsidR="0087198F">
        <w:rPr>
          <w:rFonts w:eastAsia="Times New Roman"/>
          <w:sz w:val="20"/>
          <w:szCs w:val="20"/>
        </w:rPr>
        <w:t xml:space="preserve"> -</w:t>
      </w:r>
      <w:r>
        <w:rPr>
          <w:rFonts w:eastAsia="Times New Roman"/>
          <w:sz w:val="20"/>
          <w:szCs w:val="20"/>
        </w:rPr>
        <w:t xml:space="preserve"> malgré un </w:t>
      </w:r>
      <w:r w:rsidRPr="00CE0214">
        <w:rPr>
          <w:rFonts w:eastAsia="Times New Roman"/>
          <w:sz w:val="20"/>
          <w:szCs w:val="20"/>
        </w:rPr>
        <w:t xml:space="preserve">environnement économique incertain et un marché immobilier </w:t>
      </w:r>
      <w:r w:rsidR="00B72607">
        <w:rPr>
          <w:rFonts w:eastAsia="Times New Roman"/>
          <w:sz w:val="20"/>
          <w:szCs w:val="20"/>
        </w:rPr>
        <w:t xml:space="preserve">un peu plus </w:t>
      </w:r>
      <w:r w:rsidRPr="00CE0214">
        <w:rPr>
          <w:rFonts w:eastAsia="Times New Roman"/>
          <w:sz w:val="20"/>
          <w:szCs w:val="20"/>
        </w:rPr>
        <w:t>difficile</w:t>
      </w:r>
      <w:r w:rsidR="0087198F">
        <w:rPr>
          <w:rFonts w:eastAsia="Times New Roman"/>
          <w:sz w:val="20"/>
          <w:szCs w:val="20"/>
        </w:rPr>
        <w:t xml:space="preserve"> -</w:t>
      </w:r>
      <w:r>
        <w:rPr>
          <w:rFonts w:eastAsia="Times New Roman"/>
          <w:sz w:val="20"/>
          <w:szCs w:val="20"/>
        </w:rPr>
        <w:t xml:space="preserve">, que sur </w:t>
      </w:r>
      <w:r w:rsidRPr="00CE0214">
        <w:rPr>
          <w:rFonts w:eastAsia="Times New Roman" w:cs="Verdana"/>
          <w:sz w:val="20"/>
          <w:szCs w:val="20"/>
        </w:rPr>
        <w:t>le financement des investisseurs immobiliers et des équipements publics</w:t>
      </w:r>
      <w:r>
        <w:rPr>
          <w:rFonts w:eastAsia="Times New Roman" w:cs="Verdana"/>
          <w:sz w:val="20"/>
          <w:szCs w:val="20"/>
        </w:rPr>
        <w:t xml:space="preserve"> (</w:t>
      </w:r>
      <w:r w:rsidRPr="00CE0214">
        <w:rPr>
          <w:rFonts w:eastAsia="Times New Roman" w:cs="Verdana"/>
          <w:sz w:val="20"/>
          <w:szCs w:val="20"/>
        </w:rPr>
        <w:t>0,7 milliard d’euros</w:t>
      </w:r>
      <w:r>
        <w:rPr>
          <w:rFonts w:eastAsia="Times New Roman" w:cs="Verdana"/>
          <w:sz w:val="20"/>
          <w:szCs w:val="20"/>
        </w:rPr>
        <w:t>)</w:t>
      </w:r>
      <w:r w:rsidRPr="00CE0214">
        <w:rPr>
          <w:rFonts w:eastAsia="Times New Roman" w:cs="Verdana"/>
          <w:sz w:val="20"/>
          <w:szCs w:val="20"/>
        </w:rPr>
        <w:t xml:space="preserve">. </w:t>
      </w:r>
    </w:p>
    <w:p w:rsidR="00B040EA" w:rsidRDefault="00B040EA" w:rsidP="00A83EC9">
      <w:pPr>
        <w:spacing w:before="120"/>
        <w:rPr>
          <w:rFonts w:eastAsia="Times New Roman" w:cs="Verdana"/>
          <w:sz w:val="20"/>
          <w:szCs w:val="20"/>
        </w:rPr>
      </w:pPr>
    </w:p>
    <w:p w:rsidR="00B040EA" w:rsidRPr="00CE0214" w:rsidRDefault="00B040EA" w:rsidP="00B040EA">
      <w:pPr>
        <w:spacing w:before="120"/>
        <w:rPr>
          <w:rFonts w:eastAsia="Times New Roman"/>
          <w:sz w:val="20"/>
          <w:szCs w:val="20"/>
        </w:rPr>
      </w:pPr>
      <w:r w:rsidRPr="00CE0214">
        <w:rPr>
          <w:rFonts w:eastAsia="Times New Roman"/>
          <w:sz w:val="20"/>
          <w:szCs w:val="20"/>
        </w:rPr>
        <w:t>Les encours</w:t>
      </w:r>
      <w:r w:rsidRPr="00CE0214">
        <w:rPr>
          <w:rFonts w:eastAsia="Times New Roman"/>
          <w:sz w:val="20"/>
          <w:szCs w:val="20"/>
          <w:vertAlign w:val="superscript"/>
        </w:rPr>
        <w:footnoteReference w:id="19"/>
      </w:r>
      <w:r w:rsidRPr="00CE0214">
        <w:rPr>
          <w:rFonts w:eastAsia="Times New Roman"/>
          <w:sz w:val="20"/>
          <w:szCs w:val="20"/>
        </w:rPr>
        <w:t xml:space="preserve"> de crédit</w:t>
      </w:r>
      <w:r>
        <w:rPr>
          <w:rFonts w:eastAsia="Times New Roman"/>
          <w:sz w:val="20"/>
          <w:szCs w:val="20"/>
        </w:rPr>
        <w:t>s</w:t>
      </w:r>
      <w:r w:rsidRPr="00CE0214">
        <w:rPr>
          <w:rFonts w:eastAsia="Times New Roman"/>
          <w:sz w:val="20"/>
          <w:szCs w:val="20"/>
        </w:rPr>
        <w:t xml:space="preserve"> des métiers cœurs s’élèvent à 87 milliards d’euros au 30 septembre 2014 contre 82 milliards d’euros à fin septembre 2013.</w:t>
      </w:r>
      <w:r w:rsidR="005450EF">
        <w:rPr>
          <w:rFonts w:eastAsia="Times New Roman"/>
          <w:sz w:val="20"/>
          <w:szCs w:val="20"/>
        </w:rPr>
        <w:t xml:space="preserve"> Le Crédit Foncier reste le premier pr</w:t>
      </w:r>
      <w:r w:rsidR="00A675AE">
        <w:rPr>
          <w:rFonts w:eastAsia="Times New Roman"/>
          <w:sz w:val="20"/>
          <w:szCs w:val="20"/>
        </w:rPr>
        <w:t>êteur des</w:t>
      </w:r>
      <w:r w:rsidR="005450EF">
        <w:rPr>
          <w:rFonts w:eastAsia="Times New Roman"/>
          <w:sz w:val="20"/>
          <w:szCs w:val="20"/>
        </w:rPr>
        <w:t xml:space="preserve"> ménages aux revenus modestes avec une pa</w:t>
      </w:r>
      <w:r w:rsidR="00544E76">
        <w:rPr>
          <w:rFonts w:eastAsia="Times New Roman"/>
          <w:sz w:val="20"/>
          <w:szCs w:val="20"/>
        </w:rPr>
        <w:t>rt de marché de 42</w:t>
      </w:r>
      <w:r w:rsidR="005450EF">
        <w:rPr>
          <w:rFonts w:eastAsia="Times New Roman"/>
          <w:sz w:val="20"/>
          <w:szCs w:val="20"/>
        </w:rPr>
        <w:t>% sur le prêt à l’a</w:t>
      </w:r>
      <w:r w:rsidR="00A675AE">
        <w:rPr>
          <w:rFonts w:eastAsia="Times New Roman"/>
          <w:sz w:val="20"/>
          <w:szCs w:val="20"/>
        </w:rPr>
        <w:t>ccession sociale</w:t>
      </w:r>
      <w:r w:rsidR="007467DA">
        <w:rPr>
          <w:rStyle w:val="Appelnotedebasdep"/>
          <w:rFonts w:eastAsia="Times New Roman"/>
          <w:sz w:val="20"/>
          <w:szCs w:val="20"/>
        </w:rPr>
        <w:footnoteReference w:id="20"/>
      </w:r>
      <w:r w:rsidR="00A675AE">
        <w:rPr>
          <w:rFonts w:eastAsia="Times New Roman"/>
          <w:sz w:val="20"/>
          <w:szCs w:val="20"/>
        </w:rPr>
        <w:t xml:space="preserve"> et </w:t>
      </w:r>
      <w:r w:rsidR="007467DA">
        <w:rPr>
          <w:rFonts w:eastAsia="Times New Roman"/>
          <w:sz w:val="20"/>
          <w:szCs w:val="20"/>
        </w:rPr>
        <w:t xml:space="preserve">de </w:t>
      </w:r>
      <w:r w:rsidR="00A675AE">
        <w:rPr>
          <w:rFonts w:eastAsia="Times New Roman"/>
          <w:sz w:val="20"/>
          <w:szCs w:val="20"/>
        </w:rPr>
        <w:t>25% sur les prêts à taux zéro</w:t>
      </w:r>
      <w:r w:rsidR="007467DA">
        <w:rPr>
          <w:rStyle w:val="Appelnotedebasdep"/>
          <w:rFonts w:eastAsia="Times New Roman"/>
          <w:sz w:val="20"/>
          <w:szCs w:val="20"/>
        </w:rPr>
        <w:footnoteReference w:id="21"/>
      </w:r>
      <w:r w:rsidR="00A675AE">
        <w:rPr>
          <w:rFonts w:eastAsia="Times New Roman"/>
          <w:sz w:val="20"/>
          <w:szCs w:val="20"/>
        </w:rPr>
        <w:t>.</w:t>
      </w:r>
    </w:p>
    <w:p w:rsidR="00B040EA" w:rsidRPr="00CE0214" w:rsidRDefault="00B040EA" w:rsidP="00A83EC9">
      <w:pPr>
        <w:spacing w:before="120"/>
        <w:rPr>
          <w:rFonts w:eastAsia="Times New Roman" w:cs="Verdana"/>
          <w:color w:val="FF0000"/>
          <w:sz w:val="20"/>
          <w:szCs w:val="20"/>
        </w:rPr>
      </w:pPr>
    </w:p>
    <w:p w:rsidR="00A83EC9" w:rsidRPr="00CE0214" w:rsidRDefault="00A83EC9" w:rsidP="00A83EC9">
      <w:pPr>
        <w:spacing w:before="120"/>
        <w:rPr>
          <w:rFonts w:eastAsia="Times New Roman"/>
          <w:color w:val="FF0000"/>
          <w:sz w:val="20"/>
          <w:szCs w:val="20"/>
        </w:rPr>
      </w:pPr>
      <w:r w:rsidRPr="00CE0214">
        <w:rPr>
          <w:rFonts w:eastAsia="Times New Roman"/>
          <w:sz w:val="20"/>
          <w:szCs w:val="20"/>
        </w:rPr>
        <w:t xml:space="preserve">Dans le cadre du plan stratégique « Grandir autrement » du Groupe BPCE, la Compagnie de Financement Foncier, filiale à 100 % du Crédit Foncier, </w:t>
      </w:r>
      <w:r>
        <w:rPr>
          <w:rFonts w:eastAsia="Times New Roman"/>
          <w:sz w:val="20"/>
          <w:szCs w:val="20"/>
        </w:rPr>
        <w:t xml:space="preserve">a étendu </w:t>
      </w:r>
      <w:r w:rsidRPr="00CE0214">
        <w:rPr>
          <w:rFonts w:eastAsia="Times New Roman"/>
          <w:sz w:val="20"/>
          <w:szCs w:val="20"/>
        </w:rPr>
        <w:t>son activité de refinancement au service des autres établissements du groupe. Depuis le lancement de ce plan</w:t>
      </w:r>
      <w:r w:rsidR="003701E2">
        <w:rPr>
          <w:rFonts w:eastAsia="Times New Roman"/>
          <w:sz w:val="20"/>
          <w:szCs w:val="20"/>
        </w:rPr>
        <w:t xml:space="preserve"> au début de cette année</w:t>
      </w:r>
      <w:r w:rsidRPr="00CE0214">
        <w:rPr>
          <w:rFonts w:eastAsia="Times New Roman"/>
          <w:sz w:val="20"/>
          <w:szCs w:val="20"/>
        </w:rPr>
        <w:t>, 5,5</w:t>
      </w:r>
      <w:r w:rsidR="0087198F">
        <w:rPr>
          <w:rFonts w:eastAsia="Times New Roman"/>
          <w:sz w:val="20"/>
          <w:szCs w:val="20"/>
        </w:rPr>
        <w:t> </w:t>
      </w:r>
      <w:r w:rsidRPr="00CE0214">
        <w:rPr>
          <w:rFonts w:eastAsia="Times New Roman"/>
          <w:sz w:val="20"/>
          <w:szCs w:val="20"/>
        </w:rPr>
        <w:t xml:space="preserve">milliards d’euros </w:t>
      </w:r>
      <w:r w:rsidRPr="00DC5C32">
        <w:rPr>
          <w:rFonts w:eastAsia="Times New Roman"/>
          <w:sz w:val="20"/>
          <w:szCs w:val="20"/>
        </w:rPr>
        <w:t>d’actifs des Banques Populaires et des Caisses d’Epargne ont été ainsi refinancés par l</w:t>
      </w:r>
      <w:r w:rsidRPr="00CE0214">
        <w:rPr>
          <w:rFonts w:eastAsia="Times New Roman"/>
          <w:sz w:val="20"/>
          <w:szCs w:val="20"/>
        </w:rPr>
        <w:t>a Compagnie de Financement Foncier au 30 septembre 2014.</w:t>
      </w:r>
    </w:p>
    <w:p w:rsidR="00A83EC9" w:rsidRPr="00CE0214" w:rsidRDefault="00A83EC9" w:rsidP="00A83EC9">
      <w:pPr>
        <w:spacing w:before="120"/>
        <w:rPr>
          <w:rFonts w:eastAsia="Times New Roman"/>
          <w:sz w:val="20"/>
          <w:szCs w:val="20"/>
        </w:rPr>
      </w:pPr>
      <w:r w:rsidRPr="00CE0214">
        <w:rPr>
          <w:rFonts w:eastAsia="Times New Roman"/>
          <w:sz w:val="20"/>
          <w:szCs w:val="20"/>
        </w:rPr>
        <w:t xml:space="preserve">Au troisième trimestre 2014, </w:t>
      </w:r>
      <w:r w:rsidRPr="00CE0214">
        <w:rPr>
          <w:rFonts w:eastAsia="Times New Roman"/>
          <w:b/>
          <w:sz w:val="20"/>
          <w:szCs w:val="20"/>
        </w:rPr>
        <w:t>le produit net bancaire</w:t>
      </w:r>
      <w:r w:rsidRPr="00CE0214">
        <w:rPr>
          <w:rFonts w:eastAsia="Times New Roman"/>
          <w:sz w:val="20"/>
          <w:szCs w:val="20"/>
        </w:rPr>
        <w:t xml:space="preserve"> du pôle Financement de l’Immobilier</w:t>
      </w:r>
      <w:r>
        <w:rPr>
          <w:rFonts w:eastAsia="Times New Roman"/>
          <w:sz w:val="20"/>
          <w:szCs w:val="20"/>
        </w:rPr>
        <w:t xml:space="preserve"> progresse de 13,3</w:t>
      </w:r>
      <w:r w:rsidR="0087198F">
        <w:rPr>
          <w:rFonts w:eastAsia="Times New Roman"/>
          <w:sz w:val="20"/>
          <w:szCs w:val="20"/>
        </w:rPr>
        <w:t> </w:t>
      </w:r>
      <w:r>
        <w:rPr>
          <w:rFonts w:eastAsia="Times New Roman"/>
          <w:sz w:val="20"/>
          <w:szCs w:val="20"/>
        </w:rPr>
        <w:t xml:space="preserve">% par rapport au troisième trimestre 2013, pour atteindre </w:t>
      </w:r>
      <w:r w:rsidR="0087198F">
        <w:rPr>
          <w:rFonts w:eastAsia="Times New Roman"/>
          <w:sz w:val="20"/>
          <w:szCs w:val="20"/>
        </w:rPr>
        <w:t>220 </w:t>
      </w:r>
      <w:r w:rsidRPr="00CE0214">
        <w:rPr>
          <w:rFonts w:eastAsia="Times New Roman"/>
          <w:sz w:val="20"/>
          <w:szCs w:val="20"/>
        </w:rPr>
        <w:t xml:space="preserve">millions d’euros. </w:t>
      </w:r>
    </w:p>
    <w:p w:rsidR="00A83EC9" w:rsidRPr="00CE0214" w:rsidRDefault="00A83EC9" w:rsidP="00A83EC9">
      <w:pPr>
        <w:spacing w:before="120"/>
        <w:rPr>
          <w:rFonts w:eastAsia="Times New Roman"/>
          <w:sz w:val="20"/>
          <w:szCs w:val="20"/>
        </w:rPr>
      </w:pPr>
      <w:r w:rsidRPr="00CE0214">
        <w:rPr>
          <w:rFonts w:eastAsia="Times New Roman"/>
          <w:sz w:val="20"/>
          <w:szCs w:val="20"/>
        </w:rPr>
        <w:t xml:space="preserve">Les </w:t>
      </w:r>
      <w:r w:rsidRPr="00CE0214">
        <w:rPr>
          <w:rFonts w:eastAsia="Times New Roman"/>
          <w:b/>
          <w:sz w:val="20"/>
          <w:szCs w:val="20"/>
        </w:rPr>
        <w:t>frais de gestion</w:t>
      </w:r>
      <w:r w:rsidRPr="00CE0214">
        <w:rPr>
          <w:rFonts w:eastAsia="Times New Roman"/>
          <w:sz w:val="20"/>
          <w:szCs w:val="20"/>
        </w:rPr>
        <w:t xml:space="preserve"> du troisième trimestre 2014 sont en hausse de 1,4 %, à 135 millions d’euros.</w:t>
      </w:r>
    </w:p>
    <w:p w:rsidR="00A83EC9" w:rsidRPr="00CE0214" w:rsidRDefault="00A83EC9" w:rsidP="00A83EC9">
      <w:pPr>
        <w:tabs>
          <w:tab w:val="num" w:pos="720"/>
        </w:tabs>
        <w:spacing w:before="120"/>
        <w:rPr>
          <w:rFonts w:eastAsia="Times New Roman"/>
          <w:bCs/>
          <w:sz w:val="20"/>
          <w:szCs w:val="20"/>
        </w:rPr>
      </w:pPr>
      <w:r w:rsidRPr="00CE0214">
        <w:rPr>
          <w:rFonts w:eastAsia="Times New Roman"/>
          <w:bCs/>
          <w:sz w:val="20"/>
          <w:szCs w:val="20"/>
        </w:rPr>
        <w:t xml:space="preserve">Le </w:t>
      </w:r>
      <w:r w:rsidRPr="00CE0214">
        <w:rPr>
          <w:rFonts w:eastAsia="Times New Roman"/>
          <w:b/>
          <w:bCs/>
          <w:sz w:val="20"/>
          <w:szCs w:val="20"/>
        </w:rPr>
        <w:t>coût du risque</w:t>
      </w:r>
      <w:r w:rsidRPr="00CE0214">
        <w:rPr>
          <w:rFonts w:eastAsia="Times New Roman"/>
          <w:bCs/>
          <w:sz w:val="20"/>
          <w:szCs w:val="20"/>
        </w:rPr>
        <w:t xml:space="preserve"> s’élève à 28 millions d’euros, en baisse de 11,1 % par rapport au troisième trimestre 2013.</w:t>
      </w:r>
    </w:p>
    <w:p w:rsidR="00A83EC9" w:rsidRPr="007D6901" w:rsidRDefault="00A83EC9" w:rsidP="00A9739C">
      <w:pPr>
        <w:tabs>
          <w:tab w:val="num" w:pos="720"/>
        </w:tabs>
        <w:spacing w:before="120"/>
        <w:rPr>
          <w:rFonts w:eastAsia="Times New Roman" w:cs="Times New Roman"/>
          <w:b/>
          <w:color w:val="581D74"/>
          <w:sz w:val="20"/>
          <w:szCs w:val="20"/>
        </w:rPr>
      </w:pPr>
      <w:r w:rsidRPr="00CE0214">
        <w:rPr>
          <w:rFonts w:eastAsia="Times New Roman"/>
          <w:bCs/>
          <w:sz w:val="20"/>
          <w:szCs w:val="20"/>
        </w:rPr>
        <w:t xml:space="preserve">La contribution du pôle Financement de l’Immobilier au </w:t>
      </w:r>
      <w:r w:rsidRPr="00CE0214">
        <w:rPr>
          <w:rFonts w:eastAsia="Times New Roman"/>
          <w:b/>
          <w:bCs/>
          <w:sz w:val="20"/>
          <w:szCs w:val="20"/>
        </w:rPr>
        <w:t xml:space="preserve">résultat avant impôt </w:t>
      </w:r>
      <w:r w:rsidR="00A636B2">
        <w:rPr>
          <w:rFonts w:eastAsia="Times New Roman"/>
          <w:bCs/>
          <w:sz w:val="20"/>
          <w:szCs w:val="20"/>
        </w:rPr>
        <w:t>du Groupe </w:t>
      </w:r>
      <w:r w:rsidRPr="00CE0214">
        <w:rPr>
          <w:rFonts w:eastAsia="Times New Roman"/>
          <w:bCs/>
          <w:sz w:val="20"/>
          <w:szCs w:val="20"/>
        </w:rPr>
        <w:t xml:space="preserve">BPCE au troisième trimestre 2014 s’établit à 60 millions d’euros, en hausse de 83,6 % sur un an. </w:t>
      </w:r>
      <w:r w:rsidR="00373583">
        <w:rPr>
          <w:rFonts w:eastAsia="Times New Roman" w:cs="Verdana,Italic"/>
          <w:iCs/>
          <w:sz w:val="20"/>
          <w:szCs w:val="20"/>
        </w:rPr>
        <w:t>Sur les neuf premiers mois de 2014, la contribution au résultat avant impôt du groupe augmente de 70,0 % à 80 millions d’euros.</w:t>
      </w:r>
    </w:p>
    <w:p w:rsidR="00D0624A" w:rsidRPr="007D6901" w:rsidRDefault="00D0624A" w:rsidP="00D0624A">
      <w:pPr>
        <w:numPr>
          <w:ilvl w:val="1"/>
          <w:numId w:val="4"/>
        </w:numPr>
        <w:tabs>
          <w:tab w:val="left" w:pos="426"/>
          <w:tab w:val="num" w:pos="720"/>
          <w:tab w:val="num" w:pos="993"/>
        </w:tabs>
        <w:spacing w:before="60" w:line="340" w:lineRule="atLeast"/>
        <w:ind w:left="993" w:hanging="284"/>
        <w:jc w:val="left"/>
        <w:rPr>
          <w:rFonts w:eastAsia="Times New Roman" w:cs="Verdana"/>
          <w:b/>
          <w:sz w:val="20"/>
          <w:szCs w:val="20"/>
        </w:rPr>
      </w:pPr>
      <w:r w:rsidRPr="007D6901">
        <w:rPr>
          <w:rFonts w:eastAsia="Times New Roman" w:cs="Verdana"/>
          <w:b/>
          <w:sz w:val="20"/>
          <w:szCs w:val="20"/>
        </w:rPr>
        <w:lastRenderedPageBreak/>
        <w:t xml:space="preserve">Assurance </w:t>
      </w:r>
    </w:p>
    <w:p w:rsidR="00D0624A" w:rsidRPr="007D6901" w:rsidRDefault="00D0624A" w:rsidP="00D0624A">
      <w:pPr>
        <w:tabs>
          <w:tab w:val="left" w:pos="426"/>
        </w:tabs>
        <w:rPr>
          <w:rFonts w:eastAsia="Times New Roman" w:cs="Verdana"/>
          <w:i/>
          <w:color w:val="825D69"/>
          <w:sz w:val="18"/>
          <w:szCs w:val="18"/>
        </w:rPr>
      </w:pPr>
    </w:p>
    <w:p w:rsidR="00D0624A" w:rsidRPr="00606DD8" w:rsidRDefault="00D0624A" w:rsidP="00D0624A">
      <w:pPr>
        <w:tabs>
          <w:tab w:val="left" w:pos="426"/>
        </w:tabs>
        <w:rPr>
          <w:rFonts w:eastAsia="Times New Roman" w:cs="Verdana"/>
          <w:sz w:val="18"/>
          <w:szCs w:val="18"/>
        </w:rPr>
      </w:pPr>
      <w:r w:rsidRPr="00606DD8">
        <w:rPr>
          <w:rFonts w:eastAsia="Times New Roman" w:cs="Verdana"/>
          <w:i/>
          <w:sz w:val="18"/>
          <w:szCs w:val="18"/>
        </w:rPr>
        <w:t>La principale composante du pôle Assurance est la participation minoritaire dans CNP Assurances, consolidée par mise en équivalence.</w:t>
      </w:r>
    </w:p>
    <w:p w:rsidR="00D0624A" w:rsidRPr="00A52285" w:rsidRDefault="00D0624A" w:rsidP="00D0624A">
      <w:pPr>
        <w:rPr>
          <w:rFonts w:eastAsia="Times New Roman" w:cs="Calibri"/>
          <w:color w:val="FF0000"/>
          <w:sz w:val="20"/>
          <w:szCs w:val="20"/>
        </w:rPr>
      </w:pPr>
    </w:p>
    <w:p w:rsidR="00D0624A" w:rsidRPr="00A52285" w:rsidRDefault="00D0624A" w:rsidP="00D0624A">
      <w:pPr>
        <w:rPr>
          <w:rFonts w:eastAsiaTheme="minorEastAsia"/>
          <w:color w:val="FF0000"/>
          <w:sz w:val="20"/>
          <w:szCs w:val="20"/>
        </w:rPr>
      </w:pPr>
      <w:r w:rsidRPr="00606DD8">
        <w:rPr>
          <w:rFonts w:eastAsiaTheme="minorEastAsia"/>
          <w:sz w:val="20"/>
          <w:szCs w:val="20"/>
        </w:rPr>
        <w:t>En assurance vie, la collecte brute s’élève à 2,2 milliards d’euros au troisième trimestre 2014, en progression de 50,1 </w:t>
      </w:r>
      <w:r w:rsidRPr="004B1E51">
        <w:rPr>
          <w:rFonts w:eastAsiaTheme="minorEastAsia"/>
          <w:sz w:val="20"/>
          <w:szCs w:val="20"/>
        </w:rPr>
        <w:t>%</w:t>
      </w:r>
      <w:r w:rsidR="00DF1ED8">
        <w:rPr>
          <w:rFonts w:eastAsiaTheme="minorEastAsia"/>
          <w:sz w:val="20"/>
          <w:szCs w:val="20"/>
        </w:rPr>
        <w:t xml:space="preserve">. Elle </w:t>
      </w:r>
      <w:r w:rsidRPr="004B1E51">
        <w:rPr>
          <w:rFonts w:eastAsiaTheme="minorEastAsia"/>
          <w:sz w:val="20"/>
          <w:szCs w:val="20"/>
        </w:rPr>
        <w:t xml:space="preserve">s’élève à 7,0 milliards d’euros sur les neuf premiers mois de 2014, en hausse de 40,6 %, sous l’impulsion des produits de la gestion privée </w:t>
      </w:r>
      <w:r w:rsidR="00DF1ED8">
        <w:rPr>
          <w:rFonts w:eastAsiaTheme="minorEastAsia"/>
          <w:sz w:val="20"/>
          <w:szCs w:val="20"/>
        </w:rPr>
        <w:t>qui représente</w:t>
      </w:r>
      <w:r w:rsidRPr="004B1E51">
        <w:rPr>
          <w:rFonts w:eastAsiaTheme="minorEastAsia"/>
          <w:sz w:val="20"/>
          <w:szCs w:val="20"/>
        </w:rPr>
        <w:t xml:space="preserve">nt 57,3 % de la collecte </w:t>
      </w:r>
      <w:r w:rsidR="008A3515">
        <w:rPr>
          <w:rFonts w:eastAsiaTheme="minorEastAsia"/>
          <w:sz w:val="20"/>
          <w:szCs w:val="20"/>
        </w:rPr>
        <w:t>sur les neuf</w:t>
      </w:r>
      <w:r w:rsidR="00205651">
        <w:rPr>
          <w:rFonts w:eastAsiaTheme="minorEastAsia"/>
          <w:sz w:val="20"/>
          <w:szCs w:val="20"/>
        </w:rPr>
        <w:t xml:space="preserve"> premiers mois</w:t>
      </w:r>
      <w:r w:rsidRPr="004B1E51">
        <w:rPr>
          <w:rFonts w:eastAsiaTheme="minorEastAsia"/>
          <w:sz w:val="20"/>
          <w:szCs w:val="20"/>
        </w:rPr>
        <w:t xml:space="preserve"> 2014.</w:t>
      </w:r>
    </w:p>
    <w:p w:rsidR="00D0624A" w:rsidRPr="00A52285" w:rsidRDefault="00D0624A" w:rsidP="00D0624A">
      <w:pPr>
        <w:rPr>
          <w:rFonts w:eastAsia="Times New Roman" w:cs="Calibri"/>
          <w:color w:val="FF0000"/>
          <w:sz w:val="20"/>
          <w:szCs w:val="20"/>
        </w:rPr>
      </w:pPr>
    </w:p>
    <w:p w:rsidR="00D0624A" w:rsidRPr="008B57F5" w:rsidRDefault="00D0624A" w:rsidP="00D0624A">
      <w:pPr>
        <w:autoSpaceDE w:val="0"/>
        <w:autoSpaceDN w:val="0"/>
        <w:adjustRightInd w:val="0"/>
        <w:rPr>
          <w:rFonts w:eastAsiaTheme="minorEastAsia" w:cs="Verdana"/>
          <w:sz w:val="20"/>
          <w:szCs w:val="20"/>
        </w:rPr>
      </w:pPr>
      <w:r w:rsidRPr="008B57F5">
        <w:rPr>
          <w:rFonts w:eastAsiaTheme="minorEastAsia" w:cs="Verdana"/>
          <w:sz w:val="20"/>
          <w:szCs w:val="20"/>
        </w:rPr>
        <w:t>La collecte brute en</w:t>
      </w:r>
      <w:r w:rsidR="0087198F">
        <w:rPr>
          <w:rFonts w:eastAsiaTheme="minorEastAsia" w:cs="Verdana"/>
          <w:sz w:val="20"/>
          <w:szCs w:val="20"/>
        </w:rPr>
        <w:t xml:space="preserve"> unités de compte représente 16 </w:t>
      </w:r>
      <w:r w:rsidRPr="008B57F5">
        <w:rPr>
          <w:rFonts w:eastAsiaTheme="minorEastAsia" w:cs="Verdana"/>
          <w:sz w:val="20"/>
          <w:szCs w:val="20"/>
        </w:rPr>
        <w:t>% de la collecte total</w:t>
      </w:r>
      <w:r w:rsidR="005B31C7">
        <w:rPr>
          <w:rFonts w:eastAsiaTheme="minorEastAsia" w:cs="Verdana"/>
          <w:sz w:val="20"/>
          <w:szCs w:val="20"/>
        </w:rPr>
        <w:t>e</w:t>
      </w:r>
      <w:r w:rsidRPr="008B57F5">
        <w:rPr>
          <w:rFonts w:eastAsiaTheme="minorEastAsia" w:cs="Verdana"/>
          <w:sz w:val="20"/>
          <w:szCs w:val="20"/>
        </w:rPr>
        <w:t xml:space="preserve"> à fin septembre 2014, </w:t>
      </w:r>
      <w:r w:rsidR="007C6619">
        <w:rPr>
          <w:rFonts w:eastAsiaTheme="minorEastAsia" w:cs="Verdana"/>
          <w:sz w:val="20"/>
          <w:szCs w:val="20"/>
        </w:rPr>
        <w:t>soit une</w:t>
      </w:r>
      <w:r w:rsidRPr="008B57F5">
        <w:rPr>
          <w:rFonts w:eastAsiaTheme="minorEastAsia" w:cs="Verdana"/>
          <w:sz w:val="20"/>
          <w:szCs w:val="20"/>
        </w:rPr>
        <w:t xml:space="preserve"> hausse de 5 points par rapport à fin septembre 2013.</w:t>
      </w:r>
    </w:p>
    <w:p w:rsidR="00D0624A" w:rsidRPr="00A52285" w:rsidRDefault="00D0624A" w:rsidP="00D0624A">
      <w:pPr>
        <w:rPr>
          <w:rFonts w:eastAsia="Times New Roman" w:cs="Calibri"/>
          <w:color w:val="FF0000"/>
          <w:sz w:val="20"/>
          <w:szCs w:val="20"/>
        </w:rPr>
      </w:pPr>
    </w:p>
    <w:p w:rsidR="00D0624A" w:rsidRPr="00E05519" w:rsidRDefault="00D0624A" w:rsidP="00D0624A">
      <w:pPr>
        <w:tabs>
          <w:tab w:val="num" w:pos="720"/>
        </w:tabs>
        <w:rPr>
          <w:rFonts w:eastAsia="Times New Roman" w:cs="Calibri"/>
          <w:sz w:val="20"/>
          <w:szCs w:val="20"/>
        </w:rPr>
      </w:pPr>
      <w:r w:rsidRPr="00E05519">
        <w:rPr>
          <w:rFonts w:eastAsia="Times New Roman" w:cs="Calibri"/>
          <w:sz w:val="20"/>
          <w:szCs w:val="20"/>
        </w:rPr>
        <w:t xml:space="preserve">La contribution de l’activité Assurance au </w:t>
      </w:r>
      <w:r w:rsidRPr="00E05519">
        <w:rPr>
          <w:rFonts w:eastAsia="Times New Roman" w:cs="Calibri"/>
          <w:b/>
          <w:sz w:val="20"/>
          <w:szCs w:val="20"/>
        </w:rPr>
        <w:t>résultat avant impôt</w:t>
      </w:r>
      <w:r w:rsidRPr="00E05519">
        <w:rPr>
          <w:rFonts w:eastAsia="Times New Roman" w:cs="Calibri"/>
          <w:sz w:val="20"/>
          <w:szCs w:val="20"/>
        </w:rPr>
        <w:t xml:space="preserve"> du Groupe BPCE </w:t>
      </w:r>
      <w:r w:rsidR="00ED3571">
        <w:rPr>
          <w:rFonts w:eastAsia="Times New Roman" w:cs="Calibri"/>
          <w:sz w:val="20"/>
          <w:szCs w:val="20"/>
        </w:rPr>
        <w:t xml:space="preserve">au troisième trimestre </w:t>
      </w:r>
      <w:r w:rsidRPr="00E05519">
        <w:rPr>
          <w:rFonts w:eastAsia="Times New Roman" w:cs="Calibri"/>
          <w:sz w:val="20"/>
          <w:szCs w:val="20"/>
        </w:rPr>
        <w:t xml:space="preserve">2014 s’élève à </w:t>
      </w:r>
      <w:r w:rsidR="00ED3571">
        <w:rPr>
          <w:rFonts w:eastAsia="Times New Roman" w:cs="Calibri"/>
          <w:sz w:val="20"/>
          <w:szCs w:val="20"/>
        </w:rPr>
        <w:t>41</w:t>
      </w:r>
      <w:r w:rsidR="0087198F">
        <w:rPr>
          <w:rFonts w:eastAsia="Times New Roman" w:cs="Calibri"/>
          <w:sz w:val="20"/>
          <w:szCs w:val="20"/>
        </w:rPr>
        <w:t> </w:t>
      </w:r>
      <w:r w:rsidR="00ED3571">
        <w:rPr>
          <w:rFonts w:eastAsia="Times New Roman" w:cs="Calibri"/>
          <w:sz w:val="20"/>
          <w:szCs w:val="20"/>
        </w:rPr>
        <w:t xml:space="preserve">millions d’euros, en hausse de 5,9 % </w:t>
      </w:r>
      <w:r w:rsidR="00BB1133">
        <w:rPr>
          <w:rFonts w:eastAsia="Times New Roman" w:cs="Calibri"/>
          <w:sz w:val="20"/>
          <w:szCs w:val="20"/>
        </w:rPr>
        <w:t xml:space="preserve">par rapport au </w:t>
      </w:r>
      <w:proofErr w:type="spellStart"/>
      <w:r w:rsidR="00BB1133">
        <w:rPr>
          <w:rFonts w:eastAsia="Times New Roman" w:cs="Calibri"/>
          <w:sz w:val="20"/>
          <w:szCs w:val="20"/>
        </w:rPr>
        <w:t>troisème</w:t>
      </w:r>
      <w:proofErr w:type="spellEnd"/>
      <w:r w:rsidR="00BB1133">
        <w:rPr>
          <w:rFonts w:eastAsia="Times New Roman" w:cs="Calibri"/>
          <w:sz w:val="20"/>
          <w:szCs w:val="20"/>
        </w:rPr>
        <w:t xml:space="preserve"> trimestre 2013</w:t>
      </w:r>
      <w:r w:rsidRPr="00E05519">
        <w:rPr>
          <w:rFonts w:eastAsia="Times New Roman" w:cs="Calibri"/>
          <w:sz w:val="20"/>
          <w:szCs w:val="20"/>
        </w:rPr>
        <w:t>.</w:t>
      </w:r>
      <w:r w:rsidR="0055467D">
        <w:rPr>
          <w:rFonts w:eastAsia="Times New Roman" w:cs="Calibri"/>
          <w:sz w:val="20"/>
          <w:szCs w:val="20"/>
        </w:rPr>
        <w:t xml:space="preserve"> </w:t>
      </w:r>
      <w:r w:rsidR="0055467D">
        <w:rPr>
          <w:rFonts w:eastAsia="Times New Roman" w:cs="Verdana,Italic"/>
          <w:iCs/>
          <w:sz w:val="20"/>
          <w:szCs w:val="20"/>
        </w:rPr>
        <w:t>Sur les neuf premiers mois de 2014, la contribution au résultat avant impôt du groupe augmente de 4,6 % à 144 millions d’euros.</w:t>
      </w:r>
    </w:p>
    <w:p w:rsidR="00D0624A" w:rsidRDefault="00D0624A" w:rsidP="00D0624A">
      <w:pPr>
        <w:tabs>
          <w:tab w:val="left" w:pos="426"/>
        </w:tabs>
        <w:rPr>
          <w:rFonts w:eastAsia="Times New Roman" w:cs="Times New Roman"/>
          <w:b/>
          <w:color w:val="FF6600"/>
          <w:sz w:val="20"/>
          <w:szCs w:val="20"/>
        </w:rPr>
      </w:pPr>
    </w:p>
    <w:p w:rsidR="00D0624A" w:rsidRPr="007D6901" w:rsidRDefault="00D0624A" w:rsidP="00D0624A">
      <w:pPr>
        <w:numPr>
          <w:ilvl w:val="1"/>
          <w:numId w:val="4"/>
        </w:numPr>
        <w:tabs>
          <w:tab w:val="left" w:pos="426"/>
          <w:tab w:val="num" w:pos="720"/>
          <w:tab w:val="num" w:pos="993"/>
        </w:tabs>
        <w:spacing w:before="60" w:line="340" w:lineRule="atLeast"/>
        <w:ind w:left="993" w:hanging="284"/>
        <w:jc w:val="left"/>
        <w:rPr>
          <w:rFonts w:eastAsia="Times New Roman" w:cs="Verdana"/>
          <w:b/>
          <w:sz w:val="20"/>
          <w:szCs w:val="20"/>
        </w:rPr>
      </w:pPr>
      <w:r>
        <w:rPr>
          <w:rFonts w:eastAsia="Times New Roman" w:cs="Verdana"/>
          <w:b/>
          <w:sz w:val="20"/>
          <w:szCs w:val="20"/>
        </w:rPr>
        <w:t>BPCE IOM</w:t>
      </w:r>
    </w:p>
    <w:p w:rsidR="00D0624A" w:rsidRPr="007D6901" w:rsidRDefault="00D0624A" w:rsidP="00D0624A">
      <w:pPr>
        <w:rPr>
          <w:rFonts w:eastAsia="Times New Roman" w:cs="Calibri"/>
          <w:i/>
          <w:color w:val="825D69"/>
          <w:sz w:val="18"/>
          <w:szCs w:val="18"/>
        </w:rPr>
      </w:pPr>
    </w:p>
    <w:p w:rsidR="00D0624A" w:rsidRPr="005A675E" w:rsidRDefault="00D0624A" w:rsidP="00D0624A">
      <w:pPr>
        <w:rPr>
          <w:rFonts w:eastAsia="Times New Roman" w:cs="Calibri"/>
          <w:i/>
          <w:sz w:val="18"/>
          <w:szCs w:val="18"/>
        </w:rPr>
      </w:pPr>
      <w:r w:rsidRPr="005A675E">
        <w:rPr>
          <w:rFonts w:eastAsia="Times New Roman" w:cs="Calibri"/>
          <w:i/>
          <w:sz w:val="18"/>
          <w:szCs w:val="18"/>
        </w:rPr>
        <w:t>BPCE International et Outre-mer (BPCE  IOM) regroupe l</w:t>
      </w:r>
      <w:r w:rsidR="00342E98">
        <w:rPr>
          <w:rFonts w:eastAsia="Times New Roman" w:cs="Calibri"/>
          <w:i/>
          <w:sz w:val="18"/>
          <w:szCs w:val="18"/>
        </w:rPr>
        <w:t>es filiales internationales et o</w:t>
      </w:r>
      <w:r w:rsidRPr="005A675E">
        <w:rPr>
          <w:rFonts w:eastAsia="Times New Roman" w:cs="Calibri"/>
          <w:i/>
          <w:sz w:val="18"/>
          <w:szCs w:val="18"/>
        </w:rPr>
        <w:t>utre-mer du Groupe BPCE hors Natixis.</w:t>
      </w:r>
    </w:p>
    <w:p w:rsidR="00D0624A" w:rsidRPr="00A52285" w:rsidRDefault="00D0624A" w:rsidP="00D0624A">
      <w:pPr>
        <w:rPr>
          <w:rFonts w:eastAsia="Times New Roman" w:cs="Calibri"/>
          <w:color w:val="FF0000"/>
          <w:sz w:val="20"/>
          <w:szCs w:val="20"/>
        </w:rPr>
      </w:pPr>
    </w:p>
    <w:p w:rsidR="00D0624A" w:rsidRPr="00950322" w:rsidRDefault="00D0624A" w:rsidP="00950322">
      <w:pPr>
        <w:autoSpaceDE w:val="0"/>
        <w:autoSpaceDN w:val="0"/>
        <w:adjustRightInd w:val="0"/>
        <w:rPr>
          <w:rFonts w:eastAsia="Times New Roman" w:cs="Calibri"/>
          <w:sz w:val="20"/>
          <w:szCs w:val="20"/>
        </w:rPr>
      </w:pPr>
      <w:r w:rsidRPr="005A675E">
        <w:rPr>
          <w:rFonts w:eastAsiaTheme="minorEastAsia" w:cs="Verdana"/>
          <w:sz w:val="20"/>
          <w:szCs w:val="20"/>
        </w:rPr>
        <w:t>L</w:t>
      </w:r>
      <w:r w:rsidR="007C6619">
        <w:rPr>
          <w:rFonts w:eastAsiaTheme="minorEastAsia" w:cs="Verdana"/>
          <w:sz w:val="20"/>
          <w:szCs w:val="20"/>
        </w:rPr>
        <w:t xml:space="preserve">es </w:t>
      </w:r>
      <w:r w:rsidRPr="005A675E">
        <w:rPr>
          <w:rFonts w:eastAsiaTheme="minorEastAsia" w:cs="Verdana"/>
          <w:sz w:val="20"/>
          <w:szCs w:val="20"/>
        </w:rPr>
        <w:t>encours</w:t>
      </w:r>
      <w:r w:rsidR="00481D1B">
        <w:rPr>
          <w:rStyle w:val="Appelnotedebasdep"/>
          <w:rFonts w:eastAsiaTheme="minorEastAsia" w:cs="Verdana"/>
          <w:sz w:val="20"/>
          <w:szCs w:val="20"/>
        </w:rPr>
        <w:footnoteReference w:id="22"/>
      </w:r>
      <w:r w:rsidRPr="005A675E">
        <w:rPr>
          <w:rFonts w:eastAsiaTheme="minorEastAsia" w:cs="Verdana"/>
          <w:sz w:val="20"/>
          <w:szCs w:val="20"/>
        </w:rPr>
        <w:t xml:space="preserve"> d’épargne de BPCE IOM </w:t>
      </w:r>
      <w:r>
        <w:rPr>
          <w:rFonts w:eastAsiaTheme="minorEastAsia" w:cs="Verdana"/>
          <w:sz w:val="20"/>
          <w:szCs w:val="20"/>
        </w:rPr>
        <w:t>affiche</w:t>
      </w:r>
      <w:r w:rsidR="007C6619">
        <w:rPr>
          <w:rFonts w:eastAsiaTheme="minorEastAsia" w:cs="Verdana"/>
          <w:sz w:val="20"/>
          <w:szCs w:val="20"/>
        </w:rPr>
        <w:t>nt</w:t>
      </w:r>
      <w:r>
        <w:rPr>
          <w:rFonts w:eastAsiaTheme="minorEastAsia" w:cs="Verdana"/>
          <w:sz w:val="20"/>
          <w:szCs w:val="20"/>
        </w:rPr>
        <w:t xml:space="preserve"> une croissance</w:t>
      </w:r>
      <w:r w:rsidRPr="005A675E">
        <w:rPr>
          <w:rFonts w:eastAsiaTheme="minorEastAsia" w:cs="Verdana"/>
          <w:sz w:val="20"/>
          <w:szCs w:val="20"/>
        </w:rPr>
        <w:t xml:space="preserve"> de 4,6 %, à 8,2 milliards d’euros à fin septembre 2014. Cette progressio</w:t>
      </w:r>
      <w:r w:rsidR="00177392">
        <w:rPr>
          <w:rFonts w:eastAsiaTheme="minorEastAsia" w:cs="Verdana"/>
          <w:sz w:val="20"/>
          <w:szCs w:val="20"/>
        </w:rPr>
        <w:t>n est portée par une hausse de 6</w:t>
      </w:r>
      <w:r w:rsidR="0087198F">
        <w:rPr>
          <w:rFonts w:eastAsiaTheme="minorEastAsia" w:cs="Verdana"/>
          <w:sz w:val="20"/>
          <w:szCs w:val="20"/>
        </w:rPr>
        <w:t> </w:t>
      </w:r>
      <w:r w:rsidRPr="005A675E">
        <w:rPr>
          <w:rFonts w:eastAsiaTheme="minorEastAsia" w:cs="Verdana"/>
          <w:sz w:val="20"/>
          <w:szCs w:val="20"/>
        </w:rPr>
        <w:t>% de l’épargne de bilan</w:t>
      </w:r>
      <w:r w:rsidR="00177392">
        <w:rPr>
          <w:rFonts w:eastAsiaTheme="minorEastAsia" w:cs="Verdana"/>
          <w:sz w:val="20"/>
          <w:szCs w:val="20"/>
        </w:rPr>
        <w:t xml:space="preserve"> (hors dépôts à vue). Les dépôts à vue s’accroissent </w:t>
      </w:r>
      <w:r w:rsidR="00DF1ED8">
        <w:rPr>
          <w:rFonts w:eastAsiaTheme="minorEastAsia" w:cs="Verdana"/>
          <w:sz w:val="20"/>
          <w:szCs w:val="20"/>
        </w:rPr>
        <w:t>de 3,</w:t>
      </w:r>
      <w:r w:rsidR="00177392">
        <w:rPr>
          <w:rFonts w:eastAsiaTheme="minorEastAsia" w:cs="Verdana"/>
          <w:sz w:val="20"/>
          <w:szCs w:val="20"/>
        </w:rPr>
        <w:t>8</w:t>
      </w:r>
      <w:r w:rsidR="0087198F">
        <w:rPr>
          <w:rFonts w:eastAsiaTheme="minorEastAsia" w:cs="Verdana"/>
          <w:sz w:val="20"/>
          <w:szCs w:val="20"/>
        </w:rPr>
        <w:t> </w:t>
      </w:r>
      <w:r w:rsidR="00177392">
        <w:rPr>
          <w:rFonts w:eastAsiaTheme="minorEastAsia" w:cs="Verdana"/>
          <w:sz w:val="20"/>
          <w:szCs w:val="20"/>
        </w:rPr>
        <w:t xml:space="preserve">%. Par ailleurs, l’épargne financière augmente de </w:t>
      </w:r>
      <w:r w:rsidRPr="005A675E">
        <w:rPr>
          <w:rFonts w:eastAsiaTheme="minorEastAsia" w:cs="Verdana"/>
          <w:sz w:val="20"/>
          <w:szCs w:val="20"/>
        </w:rPr>
        <w:t>1,4</w:t>
      </w:r>
      <w:r w:rsidR="0087198F">
        <w:rPr>
          <w:rFonts w:eastAsiaTheme="minorEastAsia" w:cs="Verdana"/>
          <w:sz w:val="20"/>
          <w:szCs w:val="20"/>
        </w:rPr>
        <w:t> </w:t>
      </w:r>
      <w:r w:rsidRPr="005A675E">
        <w:rPr>
          <w:rFonts w:eastAsiaTheme="minorEastAsia" w:cs="Verdana"/>
          <w:sz w:val="20"/>
          <w:szCs w:val="20"/>
        </w:rPr>
        <w:t xml:space="preserve">% </w:t>
      </w:r>
      <w:r w:rsidR="00177392">
        <w:rPr>
          <w:rFonts w:eastAsiaTheme="minorEastAsia" w:cs="Verdana"/>
          <w:sz w:val="20"/>
          <w:szCs w:val="20"/>
        </w:rPr>
        <w:t>sur un an</w:t>
      </w:r>
      <w:r w:rsidRPr="005A675E">
        <w:rPr>
          <w:rFonts w:eastAsiaTheme="minorEastAsia" w:cs="Verdana"/>
          <w:sz w:val="20"/>
          <w:szCs w:val="20"/>
        </w:rPr>
        <w:t>.</w:t>
      </w:r>
    </w:p>
    <w:p w:rsidR="00D0624A" w:rsidRPr="00950322" w:rsidRDefault="00D0624A" w:rsidP="00950322">
      <w:pPr>
        <w:spacing w:before="120"/>
        <w:rPr>
          <w:rFonts w:eastAsia="Times New Roman" w:cs="Calibri"/>
          <w:sz w:val="20"/>
          <w:szCs w:val="20"/>
        </w:rPr>
      </w:pPr>
      <w:r w:rsidRPr="00FC5FF0">
        <w:rPr>
          <w:rFonts w:eastAsiaTheme="minorEastAsia"/>
          <w:sz w:val="20"/>
          <w:szCs w:val="20"/>
        </w:rPr>
        <w:t>Les encours de crédi</w:t>
      </w:r>
      <w:r w:rsidR="007C6619">
        <w:rPr>
          <w:rFonts w:eastAsiaTheme="minorEastAsia"/>
          <w:sz w:val="20"/>
          <w:szCs w:val="20"/>
        </w:rPr>
        <w:t>t</w:t>
      </w:r>
      <w:r w:rsidR="00A16D73">
        <w:rPr>
          <w:rFonts w:eastAsiaTheme="minorEastAsia"/>
          <w:sz w:val="20"/>
          <w:szCs w:val="20"/>
        </w:rPr>
        <w:t>s</w:t>
      </w:r>
      <w:r w:rsidR="007C6619">
        <w:rPr>
          <w:rFonts w:eastAsiaTheme="minorEastAsia"/>
          <w:sz w:val="20"/>
          <w:szCs w:val="20"/>
        </w:rPr>
        <w:t xml:space="preserve"> à fin septembre 2014 sont en</w:t>
      </w:r>
      <w:r w:rsidRPr="00FC5FF0">
        <w:rPr>
          <w:rFonts w:eastAsiaTheme="minorEastAsia"/>
          <w:sz w:val="20"/>
          <w:szCs w:val="20"/>
        </w:rPr>
        <w:t xml:space="preserve"> hausse de 3</w:t>
      </w:r>
      <w:r w:rsidR="0087198F">
        <w:rPr>
          <w:rFonts w:eastAsiaTheme="minorEastAsia"/>
          <w:sz w:val="20"/>
          <w:szCs w:val="20"/>
        </w:rPr>
        <w:t> </w:t>
      </w:r>
      <w:r w:rsidRPr="00FC5FF0">
        <w:rPr>
          <w:rFonts w:eastAsiaTheme="minorEastAsia"/>
          <w:sz w:val="20"/>
          <w:szCs w:val="20"/>
        </w:rPr>
        <w:t>%, à 9,1 milliards d’euros. Sur le marché des particuliers, les crédits immobiliers progressent de 6,6</w:t>
      </w:r>
      <w:r w:rsidR="0087198F">
        <w:rPr>
          <w:rFonts w:eastAsiaTheme="minorEastAsia"/>
          <w:sz w:val="20"/>
          <w:szCs w:val="20"/>
        </w:rPr>
        <w:t> </w:t>
      </w:r>
      <w:r w:rsidRPr="00FC5FF0">
        <w:rPr>
          <w:rFonts w:eastAsiaTheme="minorEastAsia"/>
          <w:sz w:val="20"/>
          <w:szCs w:val="20"/>
        </w:rPr>
        <w:t xml:space="preserve">%. Les crédits accordés aux entreprises restent stables sur la période. </w:t>
      </w:r>
    </w:p>
    <w:p w:rsidR="00D0624A" w:rsidRPr="00896F88" w:rsidRDefault="00D0624A" w:rsidP="00950322">
      <w:pPr>
        <w:spacing w:before="120"/>
        <w:rPr>
          <w:rFonts w:eastAsia="Times New Roman" w:cs="Calibri"/>
          <w:sz w:val="20"/>
          <w:szCs w:val="20"/>
        </w:rPr>
      </w:pPr>
      <w:r w:rsidRPr="00896F88">
        <w:rPr>
          <w:rFonts w:eastAsia="Times New Roman" w:cs="Calibri"/>
          <w:sz w:val="20"/>
          <w:szCs w:val="20"/>
        </w:rPr>
        <w:t xml:space="preserve">La contribution de BPCE IOM au </w:t>
      </w:r>
      <w:r w:rsidRPr="00896F88">
        <w:rPr>
          <w:rFonts w:eastAsia="Times New Roman" w:cs="Calibri"/>
          <w:b/>
          <w:sz w:val="20"/>
          <w:szCs w:val="20"/>
        </w:rPr>
        <w:t>résultat avant impôt</w:t>
      </w:r>
      <w:r w:rsidRPr="00896F88">
        <w:rPr>
          <w:rFonts w:eastAsia="Times New Roman" w:cs="Calibri"/>
          <w:sz w:val="20"/>
          <w:szCs w:val="20"/>
        </w:rPr>
        <w:t xml:space="preserve"> du Groupe BPCE </w:t>
      </w:r>
      <w:r w:rsidR="00ED3571">
        <w:rPr>
          <w:rFonts w:eastAsia="Times New Roman" w:cs="Calibri"/>
          <w:sz w:val="20"/>
          <w:szCs w:val="20"/>
        </w:rPr>
        <w:t xml:space="preserve">au troisième trimestre </w:t>
      </w:r>
      <w:r w:rsidR="00ED3571" w:rsidRPr="00E05519">
        <w:rPr>
          <w:rFonts w:eastAsia="Times New Roman" w:cs="Calibri"/>
          <w:sz w:val="20"/>
          <w:szCs w:val="20"/>
        </w:rPr>
        <w:t xml:space="preserve">2014 </w:t>
      </w:r>
      <w:r w:rsidR="00ED3571">
        <w:rPr>
          <w:rFonts w:eastAsia="Times New Roman" w:cs="Calibri"/>
          <w:sz w:val="20"/>
          <w:szCs w:val="20"/>
        </w:rPr>
        <w:t>s’élève à 37</w:t>
      </w:r>
      <w:r w:rsidR="0087198F">
        <w:rPr>
          <w:rFonts w:eastAsia="Times New Roman" w:cs="Calibri"/>
          <w:sz w:val="20"/>
          <w:szCs w:val="20"/>
        </w:rPr>
        <w:t> </w:t>
      </w:r>
      <w:r w:rsidRPr="00896F88">
        <w:rPr>
          <w:rFonts w:eastAsia="Times New Roman" w:cs="Calibri"/>
          <w:sz w:val="20"/>
          <w:szCs w:val="20"/>
        </w:rPr>
        <w:t>millions d’eu</w:t>
      </w:r>
      <w:r w:rsidR="00ED3571">
        <w:rPr>
          <w:rFonts w:eastAsia="Times New Roman" w:cs="Calibri"/>
          <w:sz w:val="20"/>
          <w:szCs w:val="20"/>
        </w:rPr>
        <w:t>ros, soit une augmentation de 19,2</w:t>
      </w:r>
      <w:r w:rsidR="0087198F">
        <w:rPr>
          <w:rFonts w:eastAsia="Times New Roman" w:cs="Calibri"/>
          <w:sz w:val="20"/>
          <w:szCs w:val="20"/>
        </w:rPr>
        <w:t> </w:t>
      </w:r>
      <w:r w:rsidRPr="00896F88">
        <w:rPr>
          <w:rFonts w:eastAsia="Times New Roman" w:cs="Calibri"/>
          <w:sz w:val="20"/>
          <w:szCs w:val="20"/>
        </w:rPr>
        <w:t xml:space="preserve">% </w:t>
      </w:r>
      <w:r w:rsidR="003B5F41">
        <w:rPr>
          <w:rFonts w:eastAsiaTheme="minorEastAsia"/>
          <w:sz w:val="20"/>
          <w:szCs w:val="20"/>
        </w:rPr>
        <w:t>par rapport au troisième trimestre 2013</w:t>
      </w:r>
      <w:r w:rsidRPr="00896F88">
        <w:rPr>
          <w:rFonts w:eastAsia="Times New Roman" w:cs="Calibri"/>
          <w:sz w:val="20"/>
          <w:szCs w:val="20"/>
        </w:rPr>
        <w:t>.</w:t>
      </w:r>
      <w:r w:rsidR="0055467D">
        <w:rPr>
          <w:rFonts w:eastAsia="Times New Roman" w:cs="Calibri"/>
          <w:sz w:val="20"/>
          <w:szCs w:val="20"/>
        </w:rPr>
        <w:t xml:space="preserve"> </w:t>
      </w:r>
      <w:r w:rsidR="0055467D">
        <w:rPr>
          <w:rFonts w:eastAsia="Times New Roman" w:cs="Verdana,Italic"/>
          <w:iCs/>
          <w:sz w:val="20"/>
          <w:szCs w:val="20"/>
        </w:rPr>
        <w:t>Sur les neuf premiers mois de 2014, la contribution au résultat avant impôt du groupe augmente de 74,4 % à 106 millions d’euros.</w:t>
      </w:r>
    </w:p>
    <w:p w:rsidR="00D0624A" w:rsidRPr="00C97A47" w:rsidRDefault="00D0624A" w:rsidP="00D0624A">
      <w:pPr>
        <w:rPr>
          <w:rFonts w:eastAsia="Times New Roman" w:cs="Calibri"/>
          <w:sz w:val="20"/>
          <w:szCs w:val="20"/>
        </w:rPr>
      </w:pPr>
    </w:p>
    <w:p w:rsidR="00D0624A" w:rsidRPr="007D6901" w:rsidRDefault="00D0624A" w:rsidP="00D0624A">
      <w:pPr>
        <w:numPr>
          <w:ilvl w:val="1"/>
          <w:numId w:val="4"/>
        </w:numPr>
        <w:tabs>
          <w:tab w:val="left" w:pos="426"/>
          <w:tab w:val="num" w:pos="720"/>
          <w:tab w:val="num" w:pos="993"/>
        </w:tabs>
        <w:spacing w:before="60" w:line="340" w:lineRule="atLeast"/>
        <w:ind w:left="993" w:hanging="284"/>
        <w:jc w:val="left"/>
        <w:rPr>
          <w:rFonts w:eastAsia="Times New Roman" w:cs="Verdana"/>
          <w:b/>
          <w:sz w:val="20"/>
          <w:szCs w:val="20"/>
        </w:rPr>
      </w:pPr>
      <w:r>
        <w:rPr>
          <w:rFonts w:eastAsia="Times New Roman" w:cs="Verdana"/>
          <w:b/>
          <w:sz w:val="20"/>
          <w:szCs w:val="20"/>
        </w:rPr>
        <w:t>Banque Palatine</w:t>
      </w:r>
    </w:p>
    <w:p w:rsidR="00D0624A" w:rsidRPr="007D6901" w:rsidRDefault="00D0624A" w:rsidP="00D0624A">
      <w:pPr>
        <w:tabs>
          <w:tab w:val="num" w:pos="720"/>
        </w:tabs>
        <w:rPr>
          <w:rFonts w:eastAsia="Times New Roman" w:cs="Times New Roman"/>
          <w:bCs/>
          <w:i/>
          <w:color w:val="825D69"/>
          <w:sz w:val="18"/>
          <w:szCs w:val="18"/>
        </w:rPr>
      </w:pPr>
    </w:p>
    <w:p w:rsidR="0081001E" w:rsidRPr="00950322" w:rsidRDefault="00D0624A" w:rsidP="00950322">
      <w:pPr>
        <w:autoSpaceDE w:val="0"/>
        <w:autoSpaceDN w:val="0"/>
        <w:adjustRightInd w:val="0"/>
        <w:rPr>
          <w:rFonts w:eastAsiaTheme="minorEastAsia" w:cs="Verdana"/>
          <w:sz w:val="20"/>
          <w:szCs w:val="20"/>
        </w:rPr>
      </w:pPr>
      <w:r w:rsidRPr="008D4F4C">
        <w:rPr>
          <w:rFonts w:eastAsiaTheme="minorEastAsia" w:cs="Verdana"/>
          <w:sz w:val="20"/>
          <w:szCs w:val="20"/>
        </w:rPr>
        <w:t>A fin septembre 2014, les encours</w:t>
      </w:r>
      <w:r w:rsidR="006D493D">
        <w:rPr>
          <w:rStyle w:val="Appelnotedebasdep"/>
          <w:rFonts w:eastAsiaTheme="minorEastAsia" w:cs="Verdana"/>
          <w:sz w:val="20"/>
          <w:szCs w:val="20"/>
        </w:rPr>
        <w:footnoteReference w:id="23"/>
      </w:r>
      <w:r w:rsidRPr="008D4F4C">
        <w:rPr>
          <w:rFonts w:eastAsiaTheme="minorEastAsia" w:cs="Verdana"/>
          <w:sz w:val="20"/>
          <w:szCs w:val="20"/>
        </w:rPr>
        <w:t xml:space="preserve"> d’épargne de la Banque Palatine s’établissent à 17,3</w:t>
      </w:r>
      <w:r w:rsidR="0087198F">
        <w:rPr>
          <w:rFonts w:eastAsiaTheme="minorEastAsia" w:cs="Verdana"/>
          <w:sz w:val="20"/>
          <w:szCs w:val="20"/>
        </w:rPr>
        <w:t> </w:t>
      </w:r>
      <w:r>
        <w:rPr>
          <w:rFonts w:eastAsiaTheme="minorEastAsia" w:cs="Verdana"/>
          <w:sz w:val="20"/>
          <w:szCs w:val="20"/>
        </w:rPr>
        <w:t>milliards d’euros</w:t>
      </w:r>
      <w:r w:rsidR="00105910">
        <w:rPr>
          <w:rFonts w:eastAsiaTheme="minorEastAsia" w:cs="Verdana"/>
          <w:sz w:val="20"/>
          <w:szCs w:val="20"/>
        </w:rPr>
        <w:t xml:space="preserve">, en </w:t>
      </w:r>
      <w:r w:rsidR="006D493D">
        <w:rPr>
          <w:rFonts w:eastAsiaTheme="minorEastAsia" w:cs="Verdana"/>
          <w:sz w:val="20"/>
          <w:szCs w:val="20"/>
        </w:rPr>
        <w:t>haus</w:t>
      </w:r>
      <w:r w:rsidRPr="008D4F4C">
        <w:rPr>
          <w:rFonts w:eastAsiaTheme="minorEastAsia" w:cs="Verdana"/>
          <w:sz w:val="20"/>
          <w:szCs w:val="20"/>
        </w:rPr>
        <w:t>se de 6,2</w:t>
      </w:r>
      <w:r>
        <w:rPr>
          <w:rFonts w:eastAsiaTheme="minorEastAsia" w:cs="Verdana"/>
          <w:sz w:val="20"/>
          <w:szCs w:val="20"/>
        </w:rPr>
        <w:t> % sur un an</w:t>
      </w:r>
      <w:r w:rsidR="00105910">
        <w:rPr>
          <w:rFonts w:eastAsiaTheme="minorEastAsia" w:cs="Verdana"/>
          <w:sz w:val="20"/>
          <w:szCs w:val="20"/>
        </w:rPr>
        <w:t>. Cette progression est</w:t>
      </w:r>
      <w:r>
        <w:rPr>
          <w:rFonts w:eastAsiaTheme="minorEastAsia" w:cs="Verdana"/>
          <w:sz w:val="20"/>
          <w:szCs w:val="20"/>
        </w:rPr>
        <w:t xml:space="preserve"> portée </w:t>
      </w:r>
      <w:r w:rsidRPr="008D4F4C">
        <w:rPr>
          <w:rFonts w:eastAsiaTheme="minorEastAsia" w:cs="Verdana"/>
          <w:sz w:val="20"/>
          <w:szCs w:val="20"/>
        </w:rPr>
        <w:t xml:space="preserve">par une </w:t>
      </w:r>
      <w:r w:rsidR="0096654C">
        <w:rPr>
          <w:rFonts w:eastAsiaTheme="minorEastAsia" w:cs="Verdana"/>
          <w:sz w:val="20"/>
          <w:szCs w:val="20"/>
        </w:rPr>
        <w:t>nette</w:t>
      </w:r>
      <w:r w:rsidRPr="008D4F4C">
        <w:rPr>
          <w:rFonts w:eastAsiaTheme="minorEastAsia" w:cs="Verdana"/>
          <w:sz w:val="20"/>
          <w:szCs w:val="20"/>
        </w:rPr>
        <w:t xml:space="preserve"> croissance de l’épargne de bilan (+</w:t>
      </w:r>
      <w:r w:rsidR="0087198F">
        <w:rPr>
          <w:rFonts w:eastAsiaTheme="minorEastAsia" w:cs="Verdana"/>
          <w:sz w:val="20"/>
          <w:szCs w:val="20"/>
        </w:rPr>
        <w:t> </w:t>
      </w:r>
      <w:r w:rsidRPr="008D4F4C">
        <w:rPr>
          <w:rFonts w:eastAsiaTheme="minorEastAsia" w:cs="Verdana"/>
          <w:sz w:val="20"/>
          <w:szCs w:val="20"/>
        </w:rPr>
        <w:t>9,8 %</w:t>
      </w:r>
      <w:r w:rsidR="007938ED">
        <w:rPr>
          <w:rFonts w:eastAsiaTheme="minorEastAsia" w:cs="Verdana"/>
          <w:sz w:val="20"/>
          <w:szCs w:val="20"/>
        </w:rPr>
        <w:t xml:space="preserve"> avec</w:t>
      </w:r>
      <w:r w:rsidR="00E457FC">
        <w:rPr>
          <w:rFonts w:eastAsiaTheme="minorEastAsia" w:cs="Verdana"/>
          <w:sz w:val="20"/>
          <w:szCs w:val="20"/>
        </w:rPr>
        <w:t>,</w:t>
      </w:r>
      <w:r w:rsidR="007938ED">
        <w:rPr>
          <w:rFonts w:eastAsiaTheme="minorEastAsia" w:cs="Verdana"/>
          <w:sz w:val="20"/>
          <w:szCs w:val="20"/>
        </w:rPr>
        <w:t xml:space="preserve"> notamment</w:t>
      </w:r>
      <w:r w:rsidR="00E457FC">
        <w:rPr>
          <w:rFonts w:eastAsiaTheme="minorEastAsia" w:cs="Verdana"/>
          <w:sz w:val="20"/>
          <w:szCs w:val="20"/>
        </w:rPr>
        <w:t>,</w:t>
      </w:r>
      <w:r w:rsidR="007938ED">
        <w:rPr>
          <w:rFonts w:eastAsiaTheme="minorEastAsia" w:cs="Verdana"/>
          <w:sz w:val="20"/>
          <w:szCs w:val="20"/>
        </w:rPr>
        <w:t xml:space="preserve"> une augmentation des </w:t>
      </w:r>
      <w:r w:rsidR="007938ED" w:rsidRPr="005D4479">
        <w:rPr>
          <w:rFonts w:eastAsiaTheme="minorEastAsia" w:cs="Verdana"/>
          <w:sz w:val="20"/>
          <w:szCs w:val="20"/>
        </w:rPr>
        <w:t xml:space="preserve">dépôts à vue </w:t>
      </w:r>
      <w:r w:rsidR="007938ED">
        <w:rPr>
          <w:rFonts w:eastAsiaTheme="minorEastAsia" w:cs="Verdana"/>
          <w:sz w:val="20"/>
          <w:szCs w:val="20"/>
        </w:rPr>
        <w:t xml:space="preserve">de </w:t>
      </w:r>
      <w:r w:rsidR="007938ED" w:rsidRPr="005D4479">
        <w:rPr>
          <w:rFonts w:eastAsiaTheme="minorEastAsia" w:cs="Verdana"/>
          <w:sz w:val="20"/>
          <w:szCs w:val="20"/>
        </w:rPr>
        <w:t>6,0 %</w:t>
      </w:r>
      <w:r w:rsidRPr="008D4F4C">
        <w:rPr>
          <w:rFonts w:eastAsiaTheme="minorEastAsia" w:cs="Verdana"/>
          <w:sz w:val="20"/>
          <w:szCs w:val="20"/>
        </w:rPr>
        <w:t>)</w:t>
      </w:r>
      <w:r>
        <w:rPr>
          <w:rFonts w:eastAsiaTheme="minorEastAsia" w:cs="Verdana"/>
          <w:color w:val="FF0000"/>
          <w:sz w:val="20"/>
          <w:szCs w:val="20"/>
        </w:rPr>
        <w:t xml:space="preserve"> </w:t>
      </w:r>
      <w:proofErr w:type="spellStart"/>
      <w:r w:rsidR="007938ED">
        <w:rPr>
          <w:rFonts w:eastAsiaTheme="minorEastAsia" w:cs="Verdana"/>
          <w:sz w:val="20"/>
          <w:szCs w:val="20"/>
        </w:rPr>
        <w:t>reflètant</w:t>
      </w:r>
      <w:proofErr w:type="spellEnd"/>
      <w:r w:rsidR="007938ED">
        <w:rPr>
          <w:rFonts w:eastAsiaTheme="minorEastAsia" w:cs="Verdana"/>
          <w:sz w:val="20"/>
          <w:szCs w:val="20"/>
        </w:rPr>
        <w:t xml:space="preserve"> </w:t>
      </w:r>
      <w:r w:rsidRPr="005D4479">
        <w:rPr>
          <w:rFonts w:eastAsiaTheme="minorEastAsia" w:cs="Verdana"/>
          <w:sz w:val="20"/>
          <w:szCs w:val="20"/>
        </w:rPr>
        <w:t>l</w:t>
      </w:r>
      <w:r w:rsidR="007938ED">
        <w:rPr>
          <w:rFonts w:eastAsiaTheme="minorEastAsia" w:cs="Verdana"/>
          <w:sz w:val="20"/>
          <w:szCs w:val="20"/>
        </w:rPr>
        <w:t>a</w:t>
      </w:r>
      <w:r w:rsidRPr="005D4479">
        <w:rPr>
          <w:rFonts w:eastAsiaTheme="minorEastAsia" w:cs="Verdana"/>
          <w:sz w:val="20"/>
          <w:szCs w:val="20"/>
        </w:rPr>
        <w:t xml:space="preserve"> dynami</w:t>
      </w:r>
      <w:r w:rsidR="007938ED">
        <w:rPr>
          <w:rFonts w:eastAsiaTheme="minorEastAsia" w:cs="Verdana"/>
          <w:sz w:val="20"/>
          <w:szCs w:val="20"/>
        </w:rPr>
        <w:t>que</w:t>
      </w:r>
      <w:r w:rsidRPr="005D4479">
        <w:rPr>
          <w:rFonts w:eastAsiaTheme="minorEastAsia" w:cs="Verdana"/>
          <w:sz w:val="20"/>
          <w:szCs w:val="20"/>
        </w:rPr>
        <w:t xml:space="preserve"> du</w:t>
      </w:r>
      <w:r w:rsidR="007938ED">
        <w:rPr>
          <w:rFonts w:eastAsiaTheme="minorEastAsia" w:cs="Verdana"/>
          <w:sz w:val="20"/>
          <w:szCs w:val="20"/>
        </w:rPr>
        <w:t xml:space="preserve"> marché</w:t>
      </w:r>
      <w:r w:rsidRPr="005D4479">
        <w:rPr>
          <w:rFonts w:eastAsiaTheme="minorEastAsia" w:cs="Verdana"/>
          <w:sz w:val="20"/>
          <w:szCs w:val="20"/>
        </w:rPr>
        <w:t xml:space="preserve"> de</w:t>
      </w:r>
      <w:r w:rsidR="007938ED">
        <w:rPr>
          <w:rFonts w:eastAsiaTheme="minorEastAsia" w:cs="Verdana"/>
          <w:sz w:val="20"/>
          <w:szCs w:val="20"/>
        </w:rPr>
        <w:t xml:space="preserve"> l’</w:t>
      </w:r>
      <w:r w:rsidRPr="005D4479">
        <w:rPr>
          <w:rFonts w:eastAsiaTheme="minorEastAsia" w:cs="Verdana"/>
          <w:sz w:val="20"/>
          <w:szCs w:val="20"/>
        </w:rPr>
        <w:t>entreprise</w:t>
      </w:r>
      <w:r w:rsidR="007938ED">
        <w:rPr>
          <w:rFonts w:eastAsiaTheme="minorEastAsia" w:cs="Verdana"/>
          <w:sz w:val="20"/>
          <w:szCs w:val="20"/>
        </w:rPr>
        <w:t>.</w:t>
      </w:r>
      <w:r>
        <w:rPr>
          <w:rFonts w:eastAsiaTheme="minorEastAsia" w:cs="Verdana"/>
          <w:color w:val="FF0000"/>
          <w:sz w:val="20"/>
          <w:szCs w:val="20"/>
        </w:rPr>
        <w:t xml:space="preserve"> </w:t>
      </w:r>
      <w:r w:rsidRPr="005D4479">
        <w:rPr>
          <w:rFonts w:eastAsiaTheme="minorEastAsia" w:cs="Verdana"/>
          <w:sz w:val="20"/>
          <w:szCs w:val="20"/>
        </w:rPr>
        <w:t xml:space="preserve">L’épargne financière diminue </w:t>
      </w:r>
      <w:r w:rsidR="00E457FC">
        <w:rPr>
          <w:rFonts w:eastAsiaTheme="minorEastAsia" w:cs="Verdana"/>
          <w:sz w:val="20"/>
          <w:szCs w:val="20"/>
        </w:rPr>
        <w:t>légèrement sur un an (- </w:t>
      </w:r>
      <w:r w:rsidR="0087198F">
        <w:rPr>
          <w:rFonts w:eastAsiaTheme="minorEastAsia" w:cs="Verdana"/>
          <w:sz w:val="20"/>
          <w:szCs w:val="20"/>
        </w:rPr>
        <w:t>1,2 </w:t>
      </w:r>
      <w:r w:rsidR="0081001E">
        <w:rPr>
          <w:rFonts w:eastAsiaTheme="minorEastAsia" w:cs="Verdana"/>
          <w:sz w:val="20"/>
          <w:szCs w:val="20"/>
        </w:rPr>
        <w:t>%</w:t>
      </w:r>
      <w:r w:rsidR="00C507E0">
        <w:rPr>
          <w:rFonts w:eastAsiaTheme="minorEastAsia" w:cs="Verdana"/>
          <w:sz w:val="20"/>
          <w:szCs w:val="20"/>
        </w:rPr>
        <w:t>)</w:t>
      </w:r>
      <w:r w:rsidR="0081001E">
        <w:rPr>
          <w:rFonts w:eastAsiaTheme="minorEastAsia" w:cs="Verdana"/>
          <w:sz w:val="20"/>
          <w:szCs w:val="20"/>
        </w:rPr>
        <w:t>, en ligne avec une légère baisse des encours d’OPCVM de la clientèle d’entreprise.</w:t>
      </w:r>
    </w:p>
    <w:p w:rsidR="00585FB8" w:rsidRPr="00950322" w:rsidRDefault="00D0624A" w:rsidP="00950322">
      <w:pPr>
        <w:autoSpaceDE w:val="0"/>
        <w:autoSpaceDN w:val="0"/>
        <w:adjustRightInd w:val="0"/>
        <w:spacing w:before="120"/>
        <w:rPr>
          <w:rFonts w:eastAsiaTheme="minorEastAsia" w:cs="Verdana"/>
          <w:sz w:val="20"/>
          <w:szCs w:val="20"/>
        </w:rPr>
      </w:pPr>
      <w:r w:rsidRPr="00792FE5">
        <w:rPr>
          <w:rFonts w:eastAsiaTheme="minorEastAsia" w:cs="Verdana"/>
          <w:sz w:val="20"/>
          <w:szCs w:val="20"/>
        </w:rPr>
        <w:t xml:space="preserve">Les </w:t>
      </w:r>
      <w:r w:rsidR="0087198F">
        <w:rPr>
          <w:rFonts w:eastAsiaTheme="minorEastAsia" w:cs="Verdana"/>
          <w:sz w:val="20"/>
          <w:szCs w:val="20"/>
        </w:rPr>
        <w:t>encours de crédit</w:t>
      </w:r>
      <w:r w:rsidR="00867978">
        <w:rPr>
          <w:rFonts w:eastAsiaTheme="minorEastAsia" w:cs="Verdana"/>
          <w:sz w:val="20"/>
          <w:szCs w:val="20"/>
        </w:rPr>
        <w:t>s</w:t>
      </w:r>
      <w:r w:rsidR="0087198F">
        <w:rPr>
          <w:rFonts w:eastAsiaTheme="minorEastAsia" w:cs="Verdana"/>
          <w:sz w:val="20"/>
          <w:szCs w:val="20"/>
        </w:rPr>
        <w:t xml:space="preserve"> s’élèvent à 7 </w:t>
      </w:r>
      <w:r w:rsidRPr="00792FE5">
        <w:rPr>
          <w:rFonts w:eastAsiaTheme="minorEastAsia" w:cs="Verdana"/>
          <w:sz w:val="20"/>
          <w:szCs w:val="20"/>
        </w:rPr>
        <w:t xml:space="preserve">milliards d’euros, en </w:t>
      </w:r>
      <w:r w:rsidR="00CD477B">
        <w:rPr>
          <w:rFonts w:eastAsiaTheme="minorEastAsia" w:cs="Verdana"/>
          <w:sz w:val="20"/>
          <w:szCs w:val="20"/>
        </w:rPr>
        <w:t>progression</w:t>
      </w:r>
      <w:r w:rsidRPr="00792FE5">
        <w:rPr>
          <w:rFonts w:eastAsiaTheme="minorEastAsia" w:cs="Verdana"/>
          <w:sz w:val="20"/>
          <w:szCs w:val="20"/>
        </w:rPr>
        <w:t xml:space="preserve"> de 4,7</w:t>
      </w:r>
      <w:r w:rsidR="0087198F">
        <w:rPr>
          <w:rFonts w:eastAsiaTheme="minorEastAsia" w:cs="Verdana"/>
          <w:sz w:val="20"/>
          <w:szCs w:val="20"/>
        </w:rPr>
        <w:t> </w:t>
      </w:r>
      <w:r w:rsidRPr="00792FE5">
        <w:rPr>
          <w:rFonts w:eastAsiaTheme="minorEastAsia" w:cs="Verdana"/>
          <w:sz w:val="20"/>
          <w:szCs w:val="20"/>
        </w:rPr>
        <w:t xml:space="preserve">% sur un an. </w:t>
      </w:r>
      <w:r w:rsidR="00C71D0D">
        <w:rPr>
          <w:rFonts w:eastAsiaTheme="minorEastAsia" w:cs="Verdana"/>
          <w:sz w:val="20"/>
          <w:szCs w:val="20"/>
        </w:rPr>
        <w:t>La production soutenue de crédits immobiliers octroyés</w:t>
      </w:r>
      <w:r w:rsidRPr="00792FE5">
        <w:rPr>
          <w:rFonts w:eastAsiaTheme="minorEastAsia" w:cs="Verdana"/>
          <w:sz w:val="20"/>
          <w:szCs w:val="20"/>
        </w:rPr>
        <w:t xml:space="preserve"> à la clientèle privée </w:t>
      </w:r>
      <w:r w:rsidR="00C71D0D">
        <w:rPr>
          <w:rFonts w:eastAsiaTheme="minorEastAsia" w:cs="Verdana"/>
          <w:sz w:val="20"/>
          <w:szCs w:val="20"/>
        </w:rPr>
        <w:t>permet de limiter le recul de l’</w:t>
      </w:r>
      <w:r w:rsidR="0087198F">
        <w:rPr>
          <w:rFonts w:eastAsiaTheme="minorEastAsia" w:cs="Verdana"/>
          <w:sz w:val="20"/>
          <w:szCs w:val="20"/>
        </w:rPr>
        <w:t>encours (- </w:t>
      </w:r>
      <w:r w:rsidRPr="00792FE5">
        <w:rPr>
          <w:rFonts w:eastAsiaTheme="minorEastAsia" w:cs="Verdana"/>
          <w:sz w:val="20"/>
          <w:szCs w:val="20"/>
        </w:rPr>
        <w:t>0,8</w:t>
      </w:r>
      <w:r w:rsidR="0087198F">
        <w:rPr>
          <w:rFonts w:eastAsiaTheme="minorEastAsia" w:cs="Verdana"/>
          <w:sz w:val="20"/>
          <w:szCs w:val="20"/>
        </w:rPr>
        <w:t> </w:t>
      </w:r>
      <w:r w:rsidRPr="00792FE5">
        <w:rPr>
          <w:rFonts w:eastAsiaTheme="minorEastAsia" w:cs="Verdana"/>
          <w:sz w:val="20"/>
          <w:szCs w:val="20"/>
        </w:rPr>
        <w:t>%</w:t>
      </w:r>
      <w:r w:rsidR="00C71D0D">
        <w:rPr>
          <w:rFonts w:eastAsiaTheme="minorEastAsia" w:cs="Verdana"/>
          <w:sz w:val="20"/>
          <w:szCs w:val="20"/>
        </w:rPr>
        <w:t xml:space="preserve">). Le dynamisme de l’activité de crédits à moyen et long termes </w:t>
      </w:r>
      <w:r w:rsidRPr="00792FE5">
        <w:rPr>
          <w:rFonts w:eastAsiaTheme="minorEastAsia" w:cs="Verdana"/>
          <w:sz w:val="20"/>
          <w:szCs w:val="20"/>
        </w:rPr>
        <w:t xml:space="preserve">à destination des entreprises </w:t>
      </w:r>
      <w:r w:rsidR="00C71D0D">
        <w:rPr>
          <w:rFonts w:eastAsiaTheme="minorEastAsia" w:cs="Verdana"/>
          <w:sz w:val="20"/>
          <w:szCs w:val="20"/>
        </w:rPr>
        <w:t xml:space="preserve">se traduit par une nette </w:t>
      </w:r>
      <w:r w:rsidR="00A77D1D">
        <w:rPr>
          <w:rFonts w:eastAsiaTheme="minorEastAsia" w:cs="Verdana"/>
          <w:sz w:val="20"/>
          <w:szCs w:val="20"/>
        </w:rPr>
        <w:t>hausse</w:t>
      </w:r>
      <w:r w:rsidR="00C71D0D">
        <w:rPr>
          <w:rFonts w:eastAsiaTheme="minorEastAsia" w:cs="Verdana"/>
          <w:sz w:val="20"/>
          <w:szCs w:val="20"/>
        </w:rPr>
        <w:t xml:space="preserve"> de l’encours (+</w:t>
      </w:r>
      <w:r w:rsidR="0087198F">
        <w:rPr>
          <w:rFonts w:eastAsiaTheme="minorEastAsia" w:cs="Verdana"/>
          <w:sz w:val="20"/>
          <w:szCs w:val="20"/>
        </w:rPr>
        <w:t> </w:t>
      </w:r>
      <w:r w:rsidRPr="00792FE5">
        <w:rPr>
          <w:rFonts w:eastAsiaTheme="minorEastAsia" w:cs="Verdana"/>
          <w:sz w:val="20"/>
          <w:szCs w:val="20"/>
        </w:rPr>
        <w:t>10,9</w:t>
      </w:r>
      <w:r w:rsidR="0087198F">
        <w:rPr>
          <w:rFonts w:eastAsiaTheme="minorEastAsia" w:cs="Verdana"/>
          <w:sz w:val="20"/>
          <w:szCs w:val="20"/>
        </w:rPr>
        <w:t> </w:t>
      </w:r>
      <w:r w:rsidRPr="00792FE5">
        <w:rPr>
          <w:rFonts w:eastAsiaTheme="minorEastAsia" w:cs="Verdana"/>
          <w:sz w:val="20"/>
          <w:szCs w:val="20"/>
        </w:rPr>
        <w:t>%</w:t>
      </w:r>
      <w:r w:rsidR="00C71D0D">
        <w:rPr>
          <w:rFonts w:eastAsiaTheme="minorEastAsia" w:cs="Verdana"/>
          <w:sz w:val="20"/>
          <w:szCs w:val="20"/>
        </w:rPr>
        <w:t>)</w:t>
      </w:r>
      <w:r w:rsidR="006D493D">
        <w:rPr>
          <w:rFonts w:eastAsiaTheme="minorEastAsia" w:cs="Verdana"/>
          <w:sz w:val="20"/>
          <w:szCs w:val="20"/>
        </w:rPr>
        <w:t>.</w:t>
      </w:r>
      <w:r w:rsidR="00585FB8">
        <w:rPr>
          <w:rFonts w:eastAsia="Times New Roman" w:cs="Verdana"/>
          <w:b/>
          <w:sz w:val="20"/>
          <w:szCs w:val="20"/>
        </w:rPr>
        <w:tab/>
      </w:r>
    </w:p>
    <w:p w:rsidR="003B5F41" w:rsidRDefault="00D0624A" w:rsidP="00950322">
      <w:pPr>
        <w:tabs>
          <w:tab w:val="left" w:pos="1773"/>
        </w:tabs>
        <w:spacing w:before="120"/>
        <w:rPr>
          <w:rFonts w:eastAsiaTheme="minorEastAsia"/>
          <w:sz w:val="20"/>
          <w:szCs w:val="20"/>
        </w:rPr>
      </w:pPr>
      <w:r w:rsidRPr="007144DF">
        <w:rPr>
          <w:rFonts w:eastAsiaTheme="minorEastAsia"/>
          <w:sz w:val="20"/>
          <w:szCs w:val="20"/>
        </w:rPr>
        <w:t xml:space="preserve">La contribution de la Banque Palatine au </w:t>
      </w:r>
      <w:r w:rsidRPr="007144DF">
        <w:rPr>
          <w:rFonts w:eastAsiaTheme="minorEastAsia"/>
          <w:b/>
          <w:sz w:val="20"/>
          <w:szCs w:val="20"/>
        </w:rPr>
        <w:t>résultat avant impôt</w:t>
      </w:r>
      <w:r w:rsidRPr="007144DF">
        <w:rPr>
          <w:rFonts w:eastAsiaTheme="minorEastAsia"/>
          <w:sz w:val="20"/>
          <w:szCs w:val="20"/>
        </w:rPr>
        <w:t xml:space="preserve"> du Groupe BPCE </w:t>
      </w:r>
      <w:r w:rsidR="00ED3571">
        <w:rPr>
          <w:rFonts w:eastAsia="Times New Roman" w:cs="Calibri"/>
          <w:sz w:val="20"/>
          <w:szCs w:val="20"/>
        </w:rPr>
        <w:t xml:space="preserve">au troisième trimestre </w:t>
      </w:r>
      <w:r w:rsidR="00ED3571" w:rsidRPr="00E05519">
        <w:rPr>
          <w:rFonts w:eastAsia="Times New Roman" w:cs="Calibri"/>
          <w:sz w:val="20"/>
          <w:szCs w:val="20"/>
        </w:rPr>
        <w:t>2014</w:t>
      </w:r>
      <w:r w:rsidR="00ED3571">
        <w:rPr>
          <w:rFonts w:eastAsia="Times New Roman" w:cs="Calibri"/>
          <w:sz w:val="20"/>
          <w:szCs w:val="20"/>
        </w:rPr>
        <w:t xml:space="preserve"> </w:t>
      </w:r>
      <w:r w:rsidR="00ED3571">
        <w:rPr>
          <w:rFonts w:eastAsiaTheme="minorEastAsia"/>
          <w:sz w:val="20"/>
          <w:szCs w:val="20"/>
        </w:rPr>
        <w:t>s’élève à 30</w:t>
      </w:r>
      <w:r w:rsidRPr="007144DF">
        <w:rPr>
          <w:rFonts w:eastAsiaTheme="minorEastAsia"/>
          <w:sz w:val="20"/>
          <w:szCs w:val="20"/>
        </w:rPr>
        <w:t xml:space="preserve"> millio</w:t>
      </w:r>
      <w:r w:rsidR="00ED3571">
        <w:rPr>
          <w:rFonts w:eastAsiaTheme="minorEastAsia"/>
          <w:sz w:val="20"/>
          <w:szCs w:val="20"/>
        </w:rPr>
        <w:t>ns d’euros, en augmentation de 16</w:t>
      </w:r>
      <w:r w:rsidRPr="007144DF">
        <w:rPr>
          <w:rFonts w:eastAsiaTheme="minorEastAsia"/>
          <w:sz w:val="20"/>
          <w:szCs w:val="20"/>
        </w:rPr>
        <w:t>,</w:t>
      </w:r>
      <w:r w:rsidR="00ED3571">
        <w:rPr>
          <w:rFonts w:eastAsiaTheme="minorEastAsia"/>
          <w:sz w:val="20"/>
          <w:szCs w:val="20"/>
        </w:rPr>
        <w:t xml:space="preserve">1 % </w:t>
      </w:r>
      <w:r w:rsidR="003B5F41">
        <w:rPr>
          <w:rFonts w:eastAsiaTheme="minorEastAsia"/>
          <w:sz w:val="20"/>
          <w:szCs w:val="20"/>
        </w:rPr>
        <w:t>par rapport au troisième trimestre 2013</w:t>
      </w:r>
      <w:r w:rsidRPr="007144DF">
        <w:rPr>
          <w:rFonts w:eastAsiaTheme="minorEastAsia"/>
          <w:sz w:val="20"/>
          <w:szCs w:val="20"/>
        </w:rPr>
        <w:t>.</w:t>
      </w:r>
      <w:r w:rsidR="0055467D">
        <w:rPr>
          <w:rFonts w:eastAsiaTheme="minorEastAsia"/>
          <w:sz w:val="20"/>
          <w:szCs w:val="20"/>
        </w:rPr>
        <w:t xml:space="preserve"> </w:t>
      </w:r>
      <w:r w:rsidR="0055467D">
        <w:rPr>
          <w:rFonts w:eastAsia="Times New Roman" w:cs="Verdana,Italic"/>
          <w:iCs/>
          <w:sz w:val="20"/>
          <w:szCs w:val="20"/>
        </w:rPr>
        <w:t>Sur les neuf premiers mois de 2014, la contribution au résultat avant impôt du groupe augmente de 50,4 % à 73 millions d’euros.</w:t>
      </w:r>
      <w:r w:rsidRPr="007144DF">
        <w:rPr>
          <w:rFonts w:eastAsiaTheme="minorEastAsia"/>
          <w:sz w:val="20"/>
          <w:szCs w:val="20"/>
        </w:rPr>
        <w:br/>
      </w:r>
      <w:r w:rsidRPr="007144DF">
        <w:rPr>
          <w:rFonts w:eastAsia="Times New Roman" w:cs="Verdana"/>
          <w:b/>
          <w:sz w:val="20"/>
          <w:szCs w:val="20"/>
        </w:rPr>
        <w:tab/>
      </w:r>
    </w:p>
    <w:p w:rsidR="00D0624A" w:rsidRPr="003A2FA1" w:rsidRDefault="00D0624A" w:rsidP="00D0624A">
      <w:pPr>
        <w:spacing w:after="200" w:line="276" w:lineRule="auto"/>
        <w:jc w:val="left"/>
        <w:rPr>
          <w:rFonts w:eastAsia="Times New Roman" w:cs="Times New Roman"/>
          <w:smallCaps/>
          <w:color w:val="581D74"/>
          <w:sz w:val="16"/>
          <w:szCs w:val="16"/>
        </w:rPr>
      </w:pPr>
      <w:r w:rsidRPr="001A5D81">
        <w:rPr>
          <w:rFonts w:eastAsia="Times New Roman" w:cs="Times New Roman"/>
          <w:b/>
          <w:color w:val="E36C0A"/>
          <w:sz w:val="20"/>
          <w:szCs w:val="20"/>
        </w:rPr>
        <w:lastRenderedPageBreak/>
        <w:t>3.</w:t>
      </w:r>
      <w:r>
        <w:rPr>
          <w:rFonts w:eastAsia="Times New Roman" w:cs="Times New Roman"/>
          <w:b/>
          <w:color w:val="E36C0A"/>
          <w:sz w:val="20"/>
          <w:szCs w:val="20"/>
        </w:rPr>
        <w:t>2</w:t>
      </w:r>
      <w:r w:rsidRPr="001A5D81">
        <w:rPr>
          <w:rFonts w:eastAsia="Times New Roman" w:cs="Times New Roman"/>
          <w:b/>
          <w:color w:val="E36C0A"/>
          <w:sz w:val="20"/>
          <w:szCs w:val="20"/>
        </w:rPr>
        <w:tab/>
      </w:r>
      <w:r w:rsidRPr="001A5D81">
        <w:rPr>
          <w:rFonts w:eastAsia="Times New Roman" w:cs="Times New Roman"/>
          <w:b/>
          <w:color w:val="581D6E"/>
          <w:sz w:val="20"/>
          <w:szCs w:val="20"/>
        </w:rPr>
        <w:t xml:space="preserve">Banque de Grande Clientèle, Épargne et Services Financiers Spécialisés </w:t>
      </w:r>
      <w:r>
        <w:rPr>
          <w:rFonts w:eastAsia="Times New Roman" w:cs="Times New Roman"/>
          <w:b/>
          <w:color w:val="581D6E"/>
          <w:sz w:val="20"/>
          <w:szCs w:val="20"/>
        </w:rPr>
        <w:br/>
      </w:r>
      <w:r>
        <w:rPr>
          <w:rFonts w:eastAsia="Times New Roman" w:cs="Times New Roman"/>
          <w:b/>
          <w:color w:val="581D6E"/>
          <w:sz w:val="20"/>
          <w:szCs w:val="20"/>
        </w:rPr>
        <w:tab/>
      </w:r>
      <w:r w:rsidRPr="001A5D81">
        <w:rPr>
          <w:rFonts w:eastAsia="Times New Roman" w:cs="Times New Roman"/>
          <w:b/>
          <w:color w:val="581D6E"/>
          <w:sz w:val="20"/>
          <w:szCs w:val="20"/>
        </w:rPr>
        <w:t xml:space="preserve">(métiers </w:t>
      </w:r>
      <w:r w:rsidR="0033333E">
        <w:rPr>
          <w:rFonts w:eastAsia="Times New Roman" w:cs="Times New Roman"/>
          <w:b/>
          <w:color w:val="581D6E"/>
          <w:sz w:val="20"/>
          <w:szCs w:val="20"/>
        </w:rPr>
        <w:t xml:space="preserve">cœurs de </w:t>
      </w:r>
      <w:r w:rsidRPr="001A5D81">
        <w:rPr>
          <w:rFonts w:eastAsia="Times New Roman" w:cs="Times New Roman"/>
          <w:b/>
          <w:color w:val="581D6E"/>
          <w:sz w:val="20"/>
          <w:szCs w:val="20"/>
        </w:rPr>
        <w:t>Natixis)</w:t>
      </w:r>
      <w:r w:rsidRPr="00A9739C">
        <w:rPr>
          <w:rFonts w:eastAsia="Times New Roman" w:cs="Times New Roman"/>
          <w:b/>
          <w:color w:val="581D6E"/>
          <w:sz w:val="20"/>
          <w:szCs w:val="20"/>
          <w:vertAlign w:val="superscript"/>
        </w:rPr>
        <w:footnoteReference w:id="24"/>
      </w:r>
      <w:r w:rsidR="00201E7C">
        <w:rPr>
          <w:rStyle w:val="Appelnotedebasdep"/>
          <w:rFonts w:eastAsia="Times New Roman" w:cs="Times New Roman"/>
          <w:b/>
          <w:color w:val="581D6E"/>
          <w:sz w:val="20"/>
          <w:szCs w:val="20"/>
        </w:rPr>
        <w:t>,</w:t>
      </w:r>
      <w:r w:rsidR="00201E7C">
        <w:rPr>
          <w:rStyle w:val="Appelnotedebasdep"/>
          <w:rFonts w:eastAsia="Times New Roman" w:cs="Times New Roman"/>
          <w:b/>
          <w:color w:val="581D6E"/>
          <w:sz w:val="20"/>
          <w:szCs w:val="20"/>
        </w:rPr>
        <w:footnoteReference w:id="25"/>
      </w:r>
      <w:r w:rsidR="00567466" w:rsidRPr="00A9739C">
        <w:rPr>
          <w:rFonts w:eastAsia="Times New Roman" w:cs="Times New Roman"/>
          <w:b/>
          <w:color w:val="581D6E"/>
          <w:sz w:val="20"/>
          <w:szCs w:val="20"/>
          <w:vertAlign w:val="superscript"/>
        </w:rPr>
        <w:t>,</w:t>
      </w:r>
      <w:r w:rsidR="00567466">
        <w:rPr>
          <w:rStyle w:val="Appelnotedebasdep"/>
          <w:rFonts w:eastAsia="Times New Roman" w:cs="Times New Roman"/>
          <w:b/>
          <w:color w:val="581D6E"/>
          <w:sz w:val="20"/>
          <w:szCs w:val="20"/>
        </w:rPr>
        <w:footnoteReference w:id="26"/>
      </w:r>
    </w:p>
    <w:p w:rsidR="00D0624A" w:rsidRDefault="00D0624A" w:rsidP="00D0624A">
      <w:pPr>
        <w:tabs>
          <w:tab w:val="left" w:pos="426"/>
        </w:tabs>
        <w:autoSpaceDE w:val="0"/>
        <w:autoSpaceDN w:val="0"/>
        <w:adjustRightInd w:val="0"/>
        <w:rPr>
          <w:rFonts w:eastAsia="Times New Roman" w:cs="Verdana"/>
          <w:sz w:val="20"/>
          <w:szCs w:val="20"/>
        </w:rPr>
      </w:pPr>
      <w:r w:rsidRPr="004F7BEF">
        <w:rPr>
          <w:rFonts w:eastAsia="Times New Roman" w:cs="Verdana"/>
          <w:b/>
          <w:sz w:val="20"/>
          <w:szCs w:val="20"/>
        </w:rPr>
        <w:t xml:space="preserve">Le produit net bancaire </w:t>
      </w:r>
      <w:r w:rsidRPr="004F7BEF">
        <w:rPr>
          <w:rFonts w:eastAsia="Times New Roman" w:cs="Verdana"/>
          <w:sz w:val="20"/>
          <w:szCs w:val="20"/>
        </w:rPr>
        <w:t xml:space="preserve">des métiers cœurs de Natixis (Banque de Grande Clientèle, Épargne et Services Financiers Spécialisés) </w:t>
      </w:r>
      <w:r w:rsidRPr="000C4D4C">
        <w:rPr>
          <w:rFonts w:eastAsia="Times New Roman" w:cs="Verdana"/>
          <w:sz w:val="20"/>
          <w:szCs w:val="20"/>
        </w:rPr>
        <w:t>s’établit à 5 179 millions d’euros sur les neuf premiers mois de l’année 2014, en hausse de 7,0 %.</w:t>
      </w:r>
      <w:r>
        <w:rPr>
          <w:rFonts w:eastAsia="Times New Roman" w:cs="Verdana"/>
          <w:sz w:val="20"/>
          <w:szCs w:val="20"/>
        </w:rPr>
        <w:t xml:space="preserve"> </w:t>
      </w:r>
    </w:p>
    <w:p w:rsidR="00D0624A" w:rsidRDefault="00D0624A" w:rsidP="00D0624A">
      <w:pPr>
        <w:tabs>
          <w:tab w:val="left" w:pos="426"/>
        </w:tabs>
        <w:autoSpaceDE w:val="0"/>
        <w:autoSpaceDN w:val="0"/>
        <w:adjustRightInd w:val="0"/>
        <w:rPr>
          <w:rFonts w:eastAsia="Times New Roman" w:cs="Verdana"/>
          <w:sz w:val="20"/>
          <w:szCs w:val="20"/>
        </w:rPr>
      </w:pPr>
    </w:p>
    <w:p w:rsidR="002F67EB" w:rsidRPr="00F92057" w:rsidRDefault="002F67EB" w:rsidP="002F67EB">
      <w:pPr>
        <w:tabs>
          <w:tab w:val="left" w:pos="426"/>
        </w:tabs>
        <w:autoSpaceDE w:val="0"/>
        <w:autoSpaceDN w:val="0"/>
        <w:adjustRightInd w:val="0"/>
        <w:rPr>
          <w:rFonts w:eastAsia="Times New Roman" w:cs="Verdana"/>
          <w:b/>
          <w:color w:val="FF0000"/>
          <w:sz w:val="20"/>
          <w:szCs w:val="20"/>
        </w:rPr>
      </w:pPr>
      <w:r w:rsidRPr="00F92057">
        <w:rPr>
          <w:rFonts w:eastAsia="Times New Roman" w:cs="Verdana"/>
          <w:b/>
          <w:sz w:val="20"/>
          <w:szCs w:val="20"/>
        </w:rPr>
        <w:t>Les frais de gestion</w:t>
      </w:r>
      <w:r>
        <w:rPr>
          <w:rFonts w:eastAsia="Times New Roman" w:cs="Verdana"/>
          <w:b/>
          <w:sz w:val="20"/>
          <w:szCs w:val="20"/>
        </w:rPr>
        <w:t xml:space="preserve"> </w:t>
      </w:r>
      <w:r w:rsidRPr="00965E7D">
        <w:rPr>
          <w:rFonts w:eastAsia="Times New Roman" w:cs="Verdana"/>
          <w:sz w:val="20"/>
          <w:szCs w:val="20"/>
        </w:rPr>
        <w:t>des métiers cœurs de Natixis</w:t>
      </w:r>
      <w:r w:rsidRPr="00A9739C">
        <w:rPr>
          <w:rFonts w:eastAsia="Times New Roman" w:cs="Verdana"/>
          <w:sz w:val="20"/>
          <w:szCs w:val="20"/>
        </w:rPr>
        <w:t>,</w:t>
      </w:r>
      <w:r w:rsidRPr="00F92057">
        <w:rPr>
          <w:rFonts w:eastAsia="Times New Roman" w:cs="Verdana"/>
          <w:b/>
          <w:sz w:val="20"/>
          <w:szCs w:val="20"/>
        </w:rPr>
        <w:t xml:space="preserve"> </w:t>
      </w:r>
      <w:r>
        <w:rPr>
          <w:rFonts w:eastAsia="Times New Roman" w:cs="Verdana"/>
          <w:sz w:val="20"/>
          <w:szCs w:val="20"/>
        </w:rPr>
        <w:t>à 3 337 </w:t>
      </w:r>
      <w:r w:rsidRPr="00F92057">
        <w:rPr>
          <w:rFonts w:eastAsia="Times New Roman" w:cs="Verdana"/>
          <w:sz w:val="20"/>
          <w:szCs w:val="20"/>
        </w:rPr>
        <w:t xml:space="preserve">millions d’euros sur </w:t>
      </w:r>
      <w:r>
        <w:rPr>
          <w:rFonts w:eastAsia="Times New Roman" w:cs="Verdana"/>
          <w:sz w:val="20"/>
          <w:szCs w:val="20"/>
        </w:rPr>
        <w:t xml:space="preserve">les </w:t>
      </w:r>
      <w:r w:rsidRPr="00F92057">
        <w:rPr>
          <w:rFonts w:eastAsia="Times New Roman" w:cs="Verdana"/>
          <w:sz w:val="20"/>
          <w:szCs w:val="20"/>
        </w:rPr>
        <w:t xml:space="preserve">neuf </w:t>
      </w:r>
      <w:r>
        <w:rPr>
          <w:rFonts w:eastAsia="Times New Roman" w:cs="Verdana"/>
          <w:sz w:val="20"/>
          <w:szCs w:val="20"/>
        </w:rPr>
        <w:t xml:space="preserve">premiers </w:t>
      </w:r>
      <w:r w:rsidRPr="00F92057">
        <w:rPr>
          <w:rFonts w:eastAsia="Times New Roman" w:cs="Verdana"/>
          <w:sz w:val="20"/>
          <w:szCs w:val="20"/>
        </w:rPr>
        <w:t>mois, sont en hausse de 4,7 %</w:t>
      </w:r>
      <w:r>
        <w:rPr>
          <w:rFonts w:eastAsia="Times New Roman" w:cs="Verdana"/>
          <w:sz w:val="20"/>
          <w:szCs w:val="20"/>
        </w:rPr>
        <w:t xml:space="preserve"> par rapport aux neuf premiers mois de 2013</w:t>
      </w:r>
      <w:r w:rsidRPr="00F92057">
        <w:rPr>
          <w:rFonts w:eastAsia="Times New Roman" w:cs="Verdana"/>
          <w:sz w:val="20"/>
          <w:szCs w:val="20"/>
        </w:rPr>
        <w:t>.</w:t>
      </w:r>
    </w:p>
    <w:p w:rsidR="002F67EB" w:rsidRPr="00A52285" w:rsidRDefault="002F67EB" w:rsidP="002F67EB">
      <w:pPr>
        <w:tabs>
          <w:tab w:val="left" w:pos="426"/>
        </w:tabs>
        <w:autoSpaceDE w:val="0"/>
        <w:autoSpaceDN w:val="0"/>
        <w:adjustRightInd w:val="0"/>
        <w:rPr>
          <w:rFonts w:eastAsia="Times New Roman" w:cs="Verdana"/>
          <w:color w:val="FF0000"/>
          <w:sz w:val="20"/>
          <w:szCs w:val="20"/>
        </w:rPr>
      </w:pPr>
    </w:p>
    <w:p w:rsidR="002F67EB" w:rsidRPr="005637CC" w:rsidRDefault="002F67EB" w:rsidP="002F67EB">
      <w:pPr>
        <w:tabs>
          <w:tab w:val="left" w:pos="426"/>
        </w:tabs>
        <w:autoSpaceDE w:val="0"/>
        <w:autoSpaceDN w:val="0"/>
        <w:adjustRightInd w:val="0"/>
        <w:rPr>
          <w:rFonts w:eastAsia="Times New Roman" w:cs="Verdana"/>
          <w:sz w:val="20"/>
          <w:szCs w:val="20"/>
        </w:rPr>
      </w:pPr>
      <w:r w:rsidRPr="005637CC">
        <w:rPr>
          <w:rFonts w:eastAsia="Times New Roman" w:cs="Verdana"/>
          <w:b/>
          <w:sz w:val="20"/>
          <w:szCs w:val="20"/>
        </w:rPr>
        <w:t>Le coefficient d’exploitation</w:t>
      </w:r>
      <w:r w:rsidRPr="005637CC">
        <w:rPr>
          <w:rFonts w:eastAsia="Times New Roman" w:cs="Verdana"/>
          <w:sz w:val="20"/>
          <w:szCs w:val="20"/>
        </w:rPr>
        <w:t xml:space="preserve"> </w:t>
      </w:r>
      <w:r w:rsidRPr="005637CC">
        <w:rPr>
          <w:sz w:val="20"/>
          <w:szCs w:val="20"/>
        </w:rPr>
        <w:t xml:space="preserve">est en baisse de 1,4 point sur les </w:t>
      </w:r>
      <w:r>
        <w:rPr>
          <w:sz w:val="20"/>
          <w:szCs w:val="20"/>
        </w:rPr>
        <w:t>neuf</w:t>
      </w:r>
      <w:r w:rsidRPr="005637CC">
        <w:rPr>
          <w:sz w:val="20"/>
          <w:szCs w:val="20"/>
        </w:rPr>
        <w:t xml:space="preserve"> premiers mois de l’année 2014 et ressort à 64,4 %.</w:t>
      </w:r>
    </w:p>
    <w:p w:rsidR="002F67EB" w:rsidRPr="00A52285" w:rsidRDefault="002F67EB" w:rsidP="002F67EB">
      <w:pPr>
        <w:tabs>
          <w:tab w:val="left" w:pos="426"/>
        </w:tabs>
        <w:autoSpaceDE w:val="0"/>
        <w:autoSpaceDN w:val="0"/>
        <w:adjustRightInd w:val="0"/>
        <w:rPr>
          <w:rFonts w:eastAsia="Times New Roman" w:cs="Verdana"/>
          <w:color w:val="FF0000"/>
          <w:sz w:val="20"/>
          <w:szCs w:val="20"/>
        </w:rPr>
      </w:pPr>
    </w:p>
    <w:p w:rsidR="00D0624A" w:rsidRDefault="00965E7D" w:rsidP="00D0624A">
      <w:pPr>
        <w:tabs>
          <w:tab w:val="left" w:pos="426"/>
        </w:tabs>
        <w:autoSpaceDE w:val="0"/>
        <w:autoSpaceDN w:val="0"/>
        <w:adjustRightInd w:val="0"/>
        <w:rPr>
          <w:rFonts w:eastAsia="Times New Roman" w:cs="Verdana"/>
          <w:sz w:val="20"/>
          <w:szCs w:val="20"/>
        </w:rPr>
      </w:pPr>
      <w:r>
        <w:rPr>
          <w:rFonts w:eastAsia="Times New Roman" w:cs="Verdana"/>
          <w:b/>
          <w:sz w:val="20"/>
          <w:szCs w:val="20"/>
        </w:rPr>
        <w:t xml:space="preserve">Le </w:t>
      </w:r>
      <w:r w:rsidR="00924D72">
        <w:rPr>
          <w:rFonts w:eastAsia="Times New Roman" w:cs="Verdana"/>
          <w:b/>
          <w:sz w:val="20"/>
          <w:szCs w:val="20"/>
        </w:rPr>
        <w:t>résultat b</w:t>
      </w:r>
      <w:r w:rsidR="00924D72" w:rsidRPr="00370C18">
        <w:rPr>
          <w:rFonts w:eastAsia="Times New Roman" w:cs="Verdana"/>
          <w:b/>
          <w:sz w:val="20"/>
          <w:szCs w:val="20"/>
        </w:rPr>
        <w:t>rut</w:t>
      </w:r>
      <w:r w:rsidR="00924D72">
        <w:rPr>
          <w:rFonts w:eastAsia="Times New Roman" w:cs="Verdana"/>
          <w:sz w:val="20"/>
          <w:szCs w:val="20"/>
        </w:rPr>
        <w:t xml:space="preserve"> </w:t>
      </w:r>
      <w:r w:rsidR="00924D72">
        <w:rPr>
          <w:rFonts w:eastAsia="Times New Roman" w:cs="Verdana"/>
          <w:b/>
          <w:sz w:val="20"/>
          <w:szCs w:val="20"/>
        </w:rPr>
        <w:t>d’e</w:t>
      </w:r>
      <w:r w:rsidR="00924D72" w:rsidRPr="00370C18">
        <w:rPr>
          <w:rFonts w:eastAsia="Times New Roman" w:cs="Verdana"/>
          <w:b/>
          <w:sz w:val="20"/>
          <w:szCs w:val="20"/>
        </w:rPr>
        <w:t>xploitation</w:t>
      </w:r>
      <w:r w:rsidR="00924D72">
        <w:rPr>
          <w:rFonts w:eastAsia="Times New Roman" w:cs="Verdana"/>
          <w:sz w:val="20"/>
          <w:szCs w:val="20"/>
        </w:rPr>
        <w:t xml:space="preserve"> </w:t>
      </w:r>
      <w:r w:rsidR="00D0624A" w:rsidRPr="00370C18">
        <w:rPr>
          <w:rFonts w:eastAsia="Times New Roman" w:cs="Verdana"/>
          <w:b/>
          <w:sz w:val="20"/>
          <w:szCs w:val="20"/>
        </w:rPr>
        <w:t>(RBE)</w:t>
      </w:r>
      <w:r w:rsidR="00D0624A">
        <w:rPr>
          <w:rFonts w:eastAsia="Times New Roman" w:cs="Verdana"/>
          <w:sz w:val="20"/>
          <w:szCs w:val="20"/>
        </w:rPr>
        <w:t xml:space="preserve"> s’élève à 1</w:t>
      </w:r>
      <w:r w:rsidR="00F22DFA">
        <w:rPr>
          <w:rFonts w:eastAsia="Times New Roman" w:cs="Verdana"/>
          <w:sz w:val="20"/>
          <w:szCs w:val="20"/>
        </w:rPr>
        <w:t> </w:t>
      </w:r>
      <w:r w:rsidR="00D0624A">
        <w:rPr>
          <w:rFonts w:eastAsia="Times New Roman" w:cs="Verdana"/>
          <w:sz w:val="20"/>
          <w:szCs w:val="20"/>
        </w:rPr>
        <w:t>842</w:t>
      </w:r>
      <w:r w:rsidR="00F22DFA">
        <w:rPr>
          <w:rFonts w:eastAsia="Times New Roman" w:cs="Verdana"/>
          <w:sz w:val="20"/>
          <w:szCs w:val="20"/>
        </w:rPr>
        <w:t> </w:t>
      </w:r>
      <w:r w:rsidR="00D0624A">
        <w:rPr>
          <w:rFonts w:eastAsia="Times New Roman" w:cs="Verdana"/>
          <w:sz w:val="20"/>
          <w:szCs w:val="20"/>
        </w:rPr>
        <w:t>millions d’euros sur les neuf premiers mois de 2014, soit une augmentation de 11,5</w:t>
      </w:r>
      <w:r w:rsidR="00F22DFA">
        <w:rPr>
          <w:rFonts w:eastAsia="Times New Roman" w:cs="Verdana"/>
          <w:sz w:val="20"/>
          <w:szCs w:val="20"/>
        </w:rPr>
        <w:t> </w:t>
      </w:r>
      <w:r w:rsidR="00D0624A">
        <w:rPr>
          <w:rFonts w:eastAsia="Times New Roman" w:cs="Verdana"/>
          <w:sz w:val="20"/>
          <w:szCs w:val="20"/>
        </w:rPr>
        <w:t>%.</w:t>
      </w:r>
    </w:p>
    <w:p w:rsidR="00D0624A" w:rsidRDefault="00D0624A" w:rsidP="00D0624A">
      <w:pPr>
        <w:tabs>
          <w:tab w:val="left" w:pos="426"/>
        </w:tabs>
        <w:autoSpaceDE w:val="0"/>
        <w:autoSpaceDN w:val="0"/>
        <w:adjustRightInd w:val="0"/>
        <w:rPr>
          <w:rFonts w:eastAsia="Times New Roman" w:cs="Verdana"/>
          <w:sz w:val="20"/>
          <w:szCs w:val="20"/>
        </w:rPr>
      </w:pPr>
    </w:p>
    <w:p w:rsidR="001F04C9" w:rsidRDefault="001F04C9" w:rsidP="00965E7D">
      <w:pPr>
        <w:autoSpaceDE w:val="0"/>
        <w:autoSpaceDN w:val="0"/>
        <w:adjustRightInd w:val="0"/>
        <w:ind w:left="426"/>
        <w:rPr>
          <w:rFonts w:cs="Verdana"/>
          <w:sz w:val="20"/>
          <w:szCs w:val="20"/>
        </w:rPr>
      </w:pPr>
      <w:r w:rsidRPr="00466A8D">
        <w:rPr>
          <w:rFonts w:cs="Verdana"/>
          <w:sz w:val="20"/>
          <w:szCs w:val="20"/>
        </w:rPr>
        <w:t xml:space="preserve">Dans la </w:t>
      </w:r>
      <w:r w:rsidRPr="00965E7D">
        <w:rPr>
          <w:rFonts w:cs="Verdana"/>
          <w:b/>
          <w:sz w:val="20"/>
          <w:szCs w:val="20"/>
        </w:rPr>
        <w:t>Banque de Grande Clientèle</w:t>
      </w:r>
      <w:r w:rsidRPr="00466A8D">
        <w:rPr>
          <w:rFonts w:cs="Verdana"/>
          <w:sz w:val="20"/>
          <w:szCs w:val="20"/>
        </w:rPr>
        <w:t xml:space="preserve">, le </w:t>
      </w:r>
      <w:r w:rsidR="00924D72">
        <w:rPr>
          <w:rFonts w:cs="Verdana"/>
          <w:b/>
          <w:sz w:val="20"/>
          <w:szCs w:val="20"/>
        </w:rPr>
        <w:t>résultat b</w:t>
      </w:r>
      <w:r w:rsidR="00924D72" w:rsidRPr="00D97FFD">
        <w:rPr>
          <w:rFonts w:cs="Verdana"/>
          <w:b/>
          <w:sz w:val="20"/>
          <w:szCs w:val="20"/>
        </w:rPr>
        <w:t>rut d’</w:t>
      </w:r>
      <w:r w:rsidR="00924D72">
        <w:rPr>
          <w:rFonts w:cs="Verdana"/>
          <w:b/>
          <w:sz w:val="20"/>
          <w:szCs w:val="20"/>
        </w:rPr>
        <w:t>e</w:t>
      </w:r>
      <w:r w:rsidR="00924D72" w:rsidRPr="00D97FFD">
        <w:rPr>
          <w:rFonts w:cs="Verdana"/>
          <w:b/>
          <w:sz w:val="20"/>
          <w:szCs w:val="20"/>
        </w:rPr>
        <w:t>xploitation</w:t>
      </w:r>
      <w:r w:rsidR="00924D72">
        <w:rPr>
          <w:rFonts w:cs="Verdana"/>
          <w:sz w:val="20"/>
          <w:szCs w:val="20"/>
        </w:rPr>
        <w:t xml:space="preserve"> </w:t>
      </w:r>
      <w:r w:rsidRPr="00466A8D">
        <w:rPr>
          <w:rFonts w:cs="Verdana"/>
          <w:sz w:val="20"/>
          <w:szCs w:val="20"/>
        </w:rPr>
        <w:t>affiche une évolution positive de 4,9</w:t>
      </w:r>
      <w:r w:rsidR="00F22DFA">
        <w:rPr>
          <w:rFonts w:cs="Verdana"/>
          <w:sz w:val="20"/>
          <w:szCs w:val="20"/>
        </w:rPr>
        <w:t> </w:t>
      </w:r>
      <w:r w:rsidRPr="00466A8D">
        <w:rPr>
          <w:rFonts w:cs="Verdana"/>
          <w:sz w:val="20"/>
          <w:szCs w:val="20"/>
        </w:rPr>
        <w:t>% sur les neuf premiers mois de l’année 2014</w:t>
      </w:r>
      <w:r w:rsidR="00636C9A">
        <w:rPr>
          <w:rFonts w:cs="Verdana"/>
          <w:sz w:val="20"/>
          <w:szCs w:val="20"/>
        </w:rPr>
        <w:t xml:space="preserve">. Cette progression reflète </w:t>
      </w:r>
      <w:r w:rsidRPr="00466A8D">
        <w:rPr>
          <w:rFonts w:cs="Verdana"/>
          <w:sz w:val="20"/>
          <w:szCs w:val="20"/>
        </w:rPr>
        <w:t xml:space="preserve">une </w:t>
      </w:r>
      <w:r w:rsidR="00636C9A">
        <w:rPr>
          <w:rFonts w:cs="Verdana"/>
          <w:sz w:val="20"/>
          <w:szCs w:val="20"/>
        </w:rPr>
        <w:t>croissance du produit net bancaire de 2,4</w:t>
      </w:r>
      <w:r w:rsidR="00F22DFA">
        <w:rPr>
          <w:rFonts w:cs="Verdana"/>
          <w:sz w:val="20"/>
          <w:szCs w:val="20"/>
        </w:rPr>
        <w:t> </w:t>
      </w:r>
      <w:r w:rsidR="00636C9A">
        <w:rPr>
          <w:rFonts w:cs="Verdana"/>
          <w:sz w:val="20"/>
          <w:szCs w:val="20"/>
        </w:rPr>
        <w:t>% sur les neuf mois 2014 soutenue par les activités Actions et Financements structurés.</w:t>
      </w:r>
    </w:p>
    <w:p w:rsidR="001F04C9" w:rsidRPr="00A52285" w:rsidRDefault="001F04C9" w:rsidP="001F04C9">
      <w:pPr>
        <w:tabs>
          <w:tab w:val="left" w:pos="426"/>
        </w:tabs>
        <w:autoSpaceDE w:val="0"/>
        <w:autoSpaceDN w:val="0"/>
        <w:adjustRightInd w:val="0"/>
        <w:rPr>
          <w:rFonts w:eastAsia="Times New Roman" w:cs="Verdana"/>
          <w:color w:val="FF0000"/>
          <w:sz w:val="20"/>
          <w:szCs w:val="20"/>
        </w:rPr>
      </w:pPr>
    </w:p>
    <w:p w:rsidR="001F04C9" w:rsidRPr="00713A57" w:rsidRDefault="001F04C9" w:rsidP="00965E7D">
      <w:pPr>
        <w:tabs>
          <w:tab w:val="left" w:pos="426"/>
        </w:tabs>
        <w:autoSpaceDE w:val="0"/>
        <w:autoSpaceDN w:val="0"/>
        <w:adjustRightInd w:val="0"/>
        <w:ind w:left="426"/>
        <w:rPr>
          <w:rFonts w:eastAsia="Times New Roman" w:cs="Verdana"/>
          <w:sz w:val="20"/>
          <w:szCs w:val="20"/>
        </w:rPr>
      </w:pPr>
      <w:r w:rsidRPr="00713A57">
        <w:rPr>
          <w:rFonts w:eastAsia="Times New Roman" w:cs="Verdana"/>
          <w:sz w:val="20"/>
          <w:szCs w:val="20"/>
        </w:rPr>
        <w:t xml:space="preserve">Le </w:t>
      </w:r>
      <w:r w:rsidRPr="00965E7D">
        <w:rPr>
          <w:rFonts w:eastAsia="Times New Roman" w:cs="Verdana"/>
          <w:b/>
          <w:sz w:val="20"/>
          <w:szCs w:val="20"/>
        </w:rPr>
        <w:t>Pôle</w:t>
      </w:r>
      <w:r w:rsidRPr="00713A57">
        <w:rPr>
          <w:rFonts w:eastAsia="Times New Roman" w:cs="Verdana"/>
          <w:sz w:val="20"/>
          <w:szCs w:val="20"/>
        </w:rPr>
        <w:t xml:space="preserve"> </w:t>
      </w:r>
      <w:r w:rsidRPr="00965E7D">
        <w:rPr>
          <w:rFonts w:eastAsia="Times New Roman" w:cs="Verdana"/>
          <w:b/>
          <w:sz w:val="20"/>
          <w:szCs w:val="20"/>
        </w:rPr>
        <w:t>Epargne</w:t>
      </w:r>
      <w:r w:rsidRPr="00713A57">
        <w:rPr>
          <w:rFonts w:eastAsia="Times New Roman" w:cs="Verdana"/>
          <w:sz w:val="20"/>
          <w:szCs w:val="20"/>
        </w:rPr>
        <w:t xml:space="preserve"> affiche de bonnes performances avec un </w:t>
      </w:r>
      <w:r w:rsidR="00924D72" w:rsidRPr="00D97FFD">
        <w:rPr>
          <w:rFonts w:eastAsia="Times New Roman" w:cs="Verdana"/>
          <w:b/>
          <w:sz w:val="20"/>
          <w:szCs w:val="20"/>
        </w:rPr>
        <w:t>résultat brut d’exploitation</w:t>
      </w:r>
      <w:r w:rsidR="00924D72" w:rsidRPr="00D10B6F">
        <w:rPr>
          <w:rFonts w:eastAsia="Times New Roman" w:cs="Verdana"/>
          <w:sz w:val="20"/>
          <w:szCs w:val="20"/>
        </w:rPr>
        <w:t xml:space="preserve"> </w:t>
      </w:r>
      <w:r w:rsidRPr="00713A57">
        <w:rPr>
          <w:rFonts w:eastAsia="Times New Roman" w:cs="Verdana"/>
          <w:sz w:val="20"/>
          <w:szCs w:val="20"/>
        </w:rPr>
        <w:t>en hausse de 31,1</w:t>
      </w:r>
      <w:r w:rsidR="00F22DFA">
        <w:rPr>
          <w:rFonts w:eastAsia="Times New Roman" w:cs="Verdana"/>
          <w:sz w:val="20"/>
          <w:szCs w:val="20"/>
        </w:rPr>
        <w:t> </w:t>
      </w:r>
      <w:r w:rsidRPr="00713A57">
        <w:rPr>
          <w:rFonts w:eastAsia="Times New Roman" w:cs="Verdana"/>
          <w:sz w:val="20"/>
          <w:szCs w:val="20"/>
        </w:rPr>
        <w:t xml:space="preserve">% sur les neuf premiers mois de 2014. </w:t>
      </w:r>
      <w:r w:rsidR="00F73170">
        <w:rPr>
          <w:rFonts w:eastAsia="Times New Roman" w:cs="Verdana"/>
          <w:sz w:val="20"/>
          <w:szCs w:val="20"/>
        </w:rPr>
        <w:t xml:space="preserve">Cette progression significative de la rentabilité </w:t>
      </w:r>
      <w:r w:rsidRPr="00713A57">
        <w:rPr>
          <w:rFonts w:eastAsia="Times New Roman" w:cs="Verdana"/>
          <w:sz w:val="20"/>
          <w:szCs w:val="20"/>
        </w:rPr>
        <w:t>reflète le dynamisme de toutes les lignes métiers</w:t>
      </w:r>
      <w:r w:rsidR="00F73170">
        <w:rPr>
          <w:rFonts w:eastAsia="Times New Roman" w:cs="Verdana"/>
          <w:sz w:val="20"/>
          <w:szCs w:val="20"/>
        </w:rPr>
        <w:t xml:space="preserve">. En particulier, </w:t>
      </w:r>
      <w:r w:rsidRPr="00713A57">
        <w:rPr>
          <w:rFonts w:eastAsia="Times New Roman" w:cs="Verdana"/>
          <w:sz w:val="20"/>
          <w:szCs w:val="20"/>
        </w:rPr>
        <w:t>la gestion d’actifs connaît une collecte nette record de 24</w:t>
      </w:r>
      <w:r w:rsidR="00F22DFA">
        <w:rPr>
          <w:rFonts w:eastAsia="Times New Roman" w:cs="Verdana"/>
          <w:sz w:val="20"/>
          <w:szCs w:val="20"/>
        </w:rPr>
        <w:t> </w:t>
      </w:r>
      <w:r w:rsidRPr="00713A57">
        <w:rPr>
          <w:rFonts w:eastAsia="Times New Roman" w:cs="Verdana"/>
          <w:sz w:val="20"/>
          <w:szCs w:val="20"/>
        </w:rPr>
        <w:t>milliards d’euros</w:t>
      </w:r>
      <w:r w:rsidR="00F73170">
        <w:rPr>
          <w:rFonts w:eastAsia="Times New Roman" w:cs="Verdana"/>
          <w:sz w:val="20"/>
          <w:szCs w:val="20"/>
        </w:rPr>
        <w:t xml:space="preserve"> sur les neuf premiers mois de l’année 2014, </w:t>
      </w:r>
      <w:r w:rsidRPr="00713A57">
        <w:rPr>
          <w:rFonts w:eastAsia="Times New Roman" w:cs="Verdana"/>
          <w:sz w:val="20"/>
          <w:szCs w:val="20"/>
        </w:rPr>
        <w:t>portant l’encours sous gestion à 708</w:t>
      </w:r>
      <w:r w:rsidR="00F22DFA">
        <w:rPr>
          <w:rFonts w:eastAsia="Times New Roman" w:cs="Verdana"/>
          <w:sz w:val="20"/>
          <w:szCs w:val="20"/>
        </w:rPr>
        <w:t> </w:t>
      </w:r>
      <w:r w:rsidRPr="00713A57">
        <w:rPr>
          <w:rFonts w:eastAsia="Times New Roman" w:cs="Verdana"/>
          <w:sz w:val="20"/>
          <w:szCs w:val="20"/>
        </w:rPr>
        <w:t>milliards d’eur</w:t>
      </w:r>
      <w:r w:rsidR="00FB7C7E">
        <w:rPr>
          <w:rFonts w:eastAsia="Times New Roman" w:cs="Verdana"/>
          <w:sz w:val="20"/>
          <w:szCs w:val="20"/>
        </w:rPr>
        <w:t xml:space="preserve">os </w:t>
      </w:r>
      <w:r w:rsidR="00F73170" w:rsidRPr="00713A57">
        <w:rPr>
          <w:rFonts w:eastAsia="Times New Roman" w:cs="Verdana"/>
          <w:sz w:val="20"/>
          <w:szCs w:val="20"/>
        </w:rPr>
        <w:t>à fin septembre 2014</w:t>
      </w:r>
      <w:r w:rsidR="00F73170">
        <w:rPr>
          <w:rFonts w:eastAsia="Times New Roman" w:cs="Verdana"/>
          <w:sz w:val="20"/>
          <w:szCs w:val="20"/>
        </w:rPr>
        <w:t xml:space="preserve"> (</w:t>
      </w:r>
      <w:r w:rsidR="00FB7C7E">
        <w:rPr>
          <w:rFonts w:eastAsia="Times New Roman" w:cs="Verdana"/>
          <w:sz w:val="20"/>
          <w:szCs w:val="20"/>
        </w:rPr>
        <w:t>soit une augmentation de 14 </w:t>
      </w:r>
      <w:r w:rsidRPr="00713A57">
        <w:rPr>
          <w:rFonts w:eastAsia="Times New Roman" w:cs="Verdana"/>
          <w:sz w:val="20"/>
          <w:szCs w:val="20"/>
        </w:rPr>
        <w:t>% sur un an)</w:t>
      </w:r>
      <w:r>
        <w:rPr>
          <w:rFonts w:eastAsia="Times New Roman" w:cs="Verdana"/>
          <w:sz w:val="20"/>
          <w:szCs w:val="20"/>
        </w:rPr>
        <w:t>.</w:t>
      </w:r>
    </w:p>
    <w:p w:rsidR="001F04C9" w:rsidRPr="00A52285" w:rsidRDefault="001F04C9" w:rsidP="001F04C9">
      <w:pPr>
        <w:tabs>
          <w:tab w:val="left" w:pos="426"/>
        </w:tabs>
        <w:autoSpaceDE w:val="0"/>
        <w:autoSpaceDN w:val="0"/>
        <w:adjustRightInd w:val="0"/>
        <w:rPr>
          <w:rFonts w:eastAsia="Times New Roman" w:cs="Verdana"/>
          <w:color w:val="FF0000"/>
          <w:sz w:val="20"/>
          <w:szCs w:val="20"/>
        </w:rPr>
      </w:pPr>
    </w:p>
    <w:p w:rsidR="001F04C9" w:rsidRDefault="001F04C9" w:rsidP="00965E7D">
      <w:pPr>
        <w:tabs>
          <w:tab w:val="left" w:pos="426"/>
        </w:tabs>
        <w:autoSpaceDE w:val="0"/>
        <w:autoSpaceDN w:val="0"/>
        <w:adjustRightInd w:val="0"/>
        <w:ind w:left="426"/>
        <w:rPr>
          <w:rFonts w:eastAsia="Times New Roman" w:cs="Verdana"/>
          <w:color w:val="FF0000"/>
          <w:sz w:val="20"/>
          <w:szCs w:val="20"/>
        </w:rPr>
      </w:pPr>
      <w:r w:rsidRPr="005E0FE9">
        <w:rPr>
          <w:rFonts w:eastAsia="Times New Roman" w:cs="Verdana"/>
          <w:sz w:val="20"/>
          <w:szCs w:val="20"/>
        </w:rPr>
        <w:t xml:space="preserve">Le </w:t>
      </w:r>
      <w:r w:rsidR="0063227E" w:rsidRPr="00D97FFD">
        <w:rPr>
          <w:rFonts w:eastAsia="Times New Roman" w:cs="Verdana"/>
          <w:b/>
          <w:sz w:val="20"/>
          <w:szCs w:val="20"/>
        </w:rPr>
        <w:t>résultat brut d’exploitation</w:t>
      </w:r>
      <w:r w:rsidR="0063227E" w:rsidRPr="00D97FFD">
        <w:rPr>
          <w:rFonts w:eastAsia="Times New Roman" w:cs="Verdana"/>
          <w:sz w:val="20"/>
          <w:szCs w:val="20"/>
        </w:rPr>
        <w:t xml:space="preserve"> </w:t>
      </w:r>
      <w:r w:rsidRPr="005E0FE9">
        <w:rPr>
          <w:rFonts w:eastAsia="Times New Roman" w:cs="Verdana"/>
          <w:sz w:val="20"/>
          <w:szCs w:val="20"/>
        </w:rPr>
        <w:t xml:space="preserve">du </w:t>
      </w:r>
      <w:r w:rsidRPr="00965E7D">
        <w:rPr>
          <w:rFonts w:eastAsia="Times New Roman" w:cs="Verdana"/>
          <w:b/>
          <w:sz w:val="20"/>
          <w:szCs w:val="20"/>
        </w:rPr>
        <w:t xml:space="preserve">Pôle </w:t>
      </w:r>
      <w:r w:rsidR="003B23C2" w:rsidRPr="00F22DFA">
        <w:rPr>
          <w:rFonts w:eastAsia="Times New Roman" w:cs="Times New Roman"/>
          <w:b/>
          <w:color w:val="000000" w:themeColor="text1"/>
          <w:sz w:val="20"/>
          <w:szCs w:val="20"/>
        </w:rPr>
        <w:t>Services Financiers Spécialisés (SFS)</w:t>
      </w:r>
      <w:r w:rsidRPr="00F22DFA">
        <w:rPr>
          <w:rFonts w:eastAsia="Times New Roman" w:cs="Verdana"/>
          <w:color w:val="000000" w:themeColor="text1"/>
          <w:sz w:val="20"/>
          <w:szCs w:val="20"/>
        </w:rPr>
        <w:t xml:space="preserve"> </w:t>
      </w:r>
      <w:r w:rsidRPr="005E0FE9">
        <w:rPr>
          <w:rFonts w:eastAsia="Times New Roman" w:cs="Verdana"/>
          <w:sz w:val="20"/>
          <w:szCs w:val="20"/>
        </w:rPr>
        <w:t xml:space="preserve">enregistre </w:t>
      </w:r>
      <w:r w:rsidR="003B23C2">
        <w:rPr>
          <w:rFonts w:eastAsia="Times New Roman" w:cs="Verdana"/>
          <w:sz w:val="20"/>
          <w:szCs w:val="20"/>
        </w:rPr>
        <w:t xml:space="preserve">une </w:t>
      </w:r>
      <w:r w:rsidRPr="005E0FE9">
        <w:rPr>
          <w:rFonts w:eastAsia="Times New Roman" w:cs="Verdana"/>
          <w:sz w:val="20"/>
          <w:szCs w:val="20"/>
        </w:rPr>
        <w:t xml:space="preserve">progression </w:t>
      </w:r>
      <w:r w:rsidR="003B23C2">
        <w:rPr>
          <w:rFonts w:eastAsia="Times New Roman" w:cs="Verdana"/>
          <w:sz w:val="20"/>
          <w:szCs w:val="20"/>
        </w:rPr>
        <w:t>de</w:t>
      </w:r>
      <w:r w:rsidR="00FB7C7E">
        <w:rPr>
          <w:rFonts w:eastAsia="Times New Roman" w:cs="Verdana"/>
          <w:sz w:val="20"/>
          <w:szCs w:val="20"/>
        </w:rPr>
        <w:t> </w:t>
      </w:r>
      <w:r w:rsidRPr="005E0FE9">
        <w:rPr>
          <w:rFonts w:eastAsia="Times New Roman" w:cs="Verdana"/>
          <w:sz w:val="20"/>
          <w:szCs w:val="20"/>
        </w:rPr>
        <w:t>1,5</w:t>
      </w:r>
      <w:r w:rsidR="00FB7C7E">
        <w:rPr>
          <w:rFonts w:eastAsia="Times New Roman" w:cs="Verdana"/>
          <w:sz w:val="20"/>
          <w:szCs w:val="20"/>
        </w:rPr>
        <w:t> </w:t>
      </w:r>
      <w:r w:rsidRPr="005E0FE9">
        <w:rPr>
          <w:rFonts w:eastAsia="Times New Roman" w:cs="Verdana"/>
          <w:sz w:val="20"/>
          <w:szCs w:val="20"/>
        </w:rPr>
        <w:t>%</w:t>
      </w:r>
      <w:r w:rsidR="003B23C2">
        <w:rPr>
          <w:rFonts w:eastAsia="Times New Roman" w:cs="Verdana"/>
          <w:sz w:val="20"/>
          <w:szCs w:val="20"/>
        </w:rPr>
        <w:t xml:space="preserve"> </w:t>
      </w:r>
      <w:r w:rsidRPr="005E0FE9">
        <w:rPr>
          <w:rFonts w:eastAsia="Times New Roman" w:cs="Verdana"/>
          <w:sz w:val="20"/>
          <w:szCs w:val="20"/>
        </w:rPr>
        <w:t>grâce à une bonne résistance des revenus sur les financements spécialisés.</w:t>
      </w:r>
      <w:r>
        <w:rPr>
          <w:rFonts w:eastAsia="Times New Roman" w:cs="Verdana"/>
          <w:sz w:val="20"/>
          <w:szCs w:val="20"/>
        </w:rPr>
        <w:t xml:space="preserve"> Le coefficient d’e</w:t>
      </w:r>
      <w:r w:rsidR="00FB7C7E">
        <w:rPr>
          <w:rFonts w:eastAsia="Times New Roman" w:cs="Verdana"/>
          <w:sz w:val="20"/>
          <w:szCs w:val="20"/>
        </w:rPr>
        <w:t>xploitation reste stable à 65,8 </w:t>
      </w:r>
      <w:r>
        <w:rPr>
          <w:rFonts w:eastAsia="Times New Roman" w:cs="Verdana"/>
          <w:sz w:val="20"/>
          <w:szCs w:val="20"/>
        </w:rPr>
        <w:t>%.</w:t>
      </w:r>
    </w:p>
    <w:p w:rsidR="001F04C9" w:rsidRPr="00A52285" w:rsidRDefault="001F04C9" w:rsidP="001F04C9">
      <w:pPr>
        <w:tabs>
          <w:tab w:val="left" w:pos="426"/>
        </w:tabs>
        <w:autoSpaceDE w:val="0"/>
        <w:autoSpaceDN w:val="0"/>
        <w:adjustRightInd w:val="0"/>
        <w:rPr>
          <w:rFonts w:eastAsia="Times New Roman" w:cs="Verdana"/>
          <w:b/>
          <w:color w:val="FF0000"/>
          <w:sz w:val="20"/>
          <w:szCs w:val="20"/>
        </w:rPr>
      </w:pPr>
    </w:p>
    <w:p w:rsidR="001F04C9" w:rsidRDefault="001F04C9" w:rsidP="001F04C9">
      <w:pPr>
        <w:tabs>
          <w:tab w:val="left" w:pos="426"/>
        </w:tabs>
        <w:autoSpaceDE w:val="0"/>
        <w:autoSpaceDN w:val="0"/>
        <w:adjustRightInd w:val="0"/>
        <w:rPr>
          <w:rFonts w:eastAsia="Times New Roman" w:cs="Verdana"/>
          <w:sz w:val="20"/>
          <w:szCs w:val="20"/>
        </w:rPr>
      </w:pPr>
      <w:r w:rsidRPr="001C6C98">
        <w:rPr>
          <w:rFonts w:eastAsia="Times New Roman" w:cs="Verdana"/>
          <w:b/>
          <w:sz w:val="20"/>
          <w:szCs w:val="20"/>
        </w:rPr>
        <w:t>Le coût du risque</w:t>
      </w:r>
      <w:r w:rsidRPr="001C6C98">
        <w:rPr>
          <w:rFonts w:eastAsia="Times New Roman" w:cs="Verdana"/>
          <w:sz w:val="20"/>
          <w:szCs w:val="20"/>
        </w:rPr>
        <w:t xml:space="preserve"> est en baisse significative (- 33,3 %) ; il s’élève à 189</w:t>
      </w:r>
      <w:r w:rsidR="00F22DFA">
        <w:rPr>
          <w:rFonts w:eastAsia="Times New Roman" w:cs="Verdana"/>
          <w:sz w:val="20"/>
          <w:szCs w:val="20"/>
        </w:rPr>
        <w:t> </w:t>
      </w:r>
      <w:r w:rsidRPr="001C6C98">
        <w:rPr>
          <w:rFonts w:eastAsia="Times New Roman" w:cs="Verdana"/>
          <w:sz w:val="20"/>
          <w:szCs w:val="20"/>
        </w:rPr>
        <w:t xml:space="preserve">millions d’euros sur les </w:t>
      </w:r>
      <w:r w:rsidR="00535E8D">
        <w:rPr>
          <w:rFonts w:eastAsia="Times New Roman" w:cs="Verdana"/>
          <w:sz w:val="20"/>
          <w:szCs w:val="20"/>
        </w:rPr>
        <w:t>neuf</w:t>
      </w:r>
      <w:r w:rsidRPr="001C6C98">
        <w:rPr>
          <w:rFonts w:eastAsia="Times New Roman" w:cs="Verdana"/>
          <w:sz w:val="20"/>
          <w:szCs w:val="20"/>
        </w:rPr>
        <w:t xml:space="preserve"> premiers mois de l’année</w:t>
      </w:r>
      <w:r w:rsidR="00C3763A">
        <w:rPr>
          <w:rFonts w:eastAsia="Times New Roman" w:cs="Verdana"/>
          <w:sz w:val="20"/>
          <w:szCs w:val="20"/>
        </w:rPr>
        <w:t xml:space="preserve"> </w:t>
      </w:r>
      <w:r w:rsidR="00C3763A">
        <w:rPr>
          <w:rFonts w:eastAsia="Times New Roman" w:cs="Verdana,Italic"/>
          <w:iCs/>
          <w:sz w:val="20"/>
          <w:szCs w:val="20"/>
        </w:rPr>
        <w:t>(37 points de base sur les neuf premiers mois de 2014 contre 54 points de base sur les neuf premiers mois de 2013)</w:t>
      </w:r>
      <w:r w:rsidRPr="001C6C98">
        <w:rPr>
          <w:rFonts w:eastAsia="Times New Roman" w:cs="Verdana"/>
          <w:sz w:val="20"/>
          <w:szCs w:val="20"/>
        </w:rPr>
        <w:t>.</w:t>
      </w:r>
    </w:p>
    <w:p w:rsidR="00965E7D" w:rsidRDefault="00965E7D" w:rsidP="001F04C9">
      <w:pPr>
        <w:tabs>
          <w:tab w:val="left" w:pos="426"/>
        </w:tabs>
        <w:autoSpaceDE w:val="0"/>
        <w:autoSpaceDN w:val="0"/>
        <w:adjustRightInd w:val="0"/>
        <w:rPr>
          <w:rFonts w:eastAsia="Times New Roman" w:cs="Verdana"/>
          <w:sz w:val="20"/>
          <w:szCs w:val="20"/>
        </w:rPr>
      </w:pPr>
    </w:p>
    <w:p w:rsidR="00965E7D" w:rsidRPr="00370C18" w:rsidRDefault="00FB7C7E" w:rsidP="00965E7D">
      <w:pPr>
        <w:tabs>
          <w:tab w:val="left" w:pos="426"/>
        </w:tabs>
        <w:autoSpaceDE w:val="0"/>
        <w:autoSpaceDN w:val="0"/>
        <w:adjustRightInd w:val="0"/>
        <w:rPr>
          <w:rFonts w:eastAsia="Times New Roman" w:cs="Verdana"/>
          <w:b/>
          <w:color w:val="FF0000"/>
          <w:sz w:val="20"/>
          <w:szCs w:val="20"/>
        </w:rPr>
      </w:pPr>
      <w:r>
        <w:rPr>
          <w:rFonts w:eastAsia="Times New Roman" w:cs="Verdana"/>
          <w:b/>
          <w:sz w:val="20"/>
          <w:szCs w:val="20"/>
        </w:rPr>
        <w:t>Le résultat avant impôt</w:t>
      </w:r>
      <w:r w:rsidR="00965E7D">
        <w:rPr>
          <w:rFonts w:eastAsia="Times New Roman" w:cs="Verdana"/>
          <w:b/>
          <w:sz w:val="20"/>
          <w:szCs w:val="20"/>
        </w:rPr>
        <w:t xml:space="preserve"> </w:t>
      </w:r>
      <w:r w:rsidR="00965E7D" w:rsidRPr="00370C18">
        <w:rPr>
          <w:rFonts w:eastAsia="Times New Roman" w:cs="Verdana"/>
          <w:sz w:val="20"/>
          <w:szCs w:val="20"/>
        </w:rPr>
        <w:t>s’é</w:t>
      </w:r>
      <w:r w:rsidR="00965E7D">
        <w:rPr>
          <w:rFonts w:eastAsia="Times New Roman" w:cs="Verdana"/>
          <w:sz w:val="20"/>
          <w:szCs w:val="20"/>
        </w:rPr>
        <w:t>tablit</w:t>
      </w:r>
      <w:r w:rsidR="00965E7D" w:rsidRPr="00370C18">
        <w:rPr>
          <w:rFonts w:eastAsia="Times New Roman" w:cs="Verdana"/>
          <w:sz w:val="20"/>
          <w:szCs w:val="20"/>
        </w:rPr>
        <w:t xml:space="preserve"> à 1</w:t>
      </w:r>
      <w:r w:rsidR="00F22DFA">
        <w:rPr>
          <w:rFonts w:eastAsia="Times New Roman" w:cs="Verdana"/>
          <w:sz w:val="20"/>
          <w:szCs w:val="20"/>
        </w:rPr>
        <w:t> </w:t>
      </w:r>
      <w:r w:rsidR="00965E7D" w:rsidRPr="00370C18">
        <w:rPr>
          <w:rFonts w:eastAsia="Times New Roman" w:cs="Verdana"/>
          <w:sz w:val="20"/>
          <w:szCs w:val="20"/>
        </w:rPr>
        <w:t>687</w:t>
      </w:r>
      <w:r w:rsidR="00F22DFA">
        <w:rPr>
          <w:rFonts w:eastAsia="Times New Roman" w:cs="Verdana"/>
          <w:sz w:val="20"/>
          <w:szCs w:val="20"/>
        </w:rPr>
        <w:t> </w:t>
      </w:r>
      <w:r w:rsidR="00965E7D" w:rsidRPr="00370C18">
        <w:rPr>
          <w:rFonts w:eastAsia="Times New Roman" w:cs="Verdana"/>
          <w:sz w:val="20"/>
          <w:szCs w:val="20"/>
        </w:rPr>
        <w:t>millions d’euros sur</w:t>
      </w:r>
      <w:r w:rsidR="00965E7D">
        <w:rPr>
          <w:rFonts w:eastAsia="Times New Roman" w:cs="Verdana"/>
          <w:b/>
          <w:sz w:val="20"/>
          <w:szCs w:val="20"/>
        </w:rPr>
        <w:t xml:space="preserve"> </w:t>
      </w:r>
      <w:r w:rsidR="00965E7D">
        <w:rPr>
          <w:rFonts w:eastAsia="Times New Roman" w:cs="Verdana"/>
          <w:sz w:val="20"/>
          <w:szCs w:val="20"/>
        </w:rPr>
        <w:t xml:space="preserve">les </w:t>
      </w:r>
      <w:r w:rsidR="00535E8D">
        <w:rPr>
          <w:rFonts w:eastAsia="Times New Roman" w:cs="Verdana"/>
          <w:sz w:val="20"/>
          <w:szCs w:val="20"/>
        </w:rPr>
        <w:t>neuf</w:t>
      </w:r>
      <w:r w:rsidR="00965E7D">
        <w:rPr>
          <w:rFonts w:eastAsia="Times New Roman" w:cs="Verdana"/>
          <w:sz w:val="20"/>
          <w:szCs w:val="20"/>
        </w:rPr>
        <w:t xml:space="preserve"> premiers mois de 2014</w:t>
      </w:r>
      <w:r w:rsidR="00965E7D" w:rsidRPr="00370C18">
        <w:rPr>
          <w:rFonts w:eastAsia="Times New Roman" w:cs="Verdana"/>
          <w:sz w:val="20"/>
          <w:szCs w:val="20"/>
        </w:rPr>
        <w:t xml:space="preserve">, </w:t>
      </w:r>
      <w:r w:rsidR="00965E7D">
        <w:rPr>
          <w:rFonts w:eastAsia="Times New Roman" w:cs="Verdana"/>
          <w:sz w:val="20"/>
          <w:szCs w:val="20"/>
        </w:rPr>
        <w:t>soit une hausse de 22,2</w:t>
      </w:r>
      <w:r w:rsidR="00F22DFA">
        <w:rPr>
          <w:rFonts w:eastAsia="Times New Roman" w:cs="Verdana"/>
          <w:sz w:val="20"/>
          <w:szCs w:val="20"/>
        </w:rPr>
        <w:t> </w:t>
      </w:r>
      <w:r w:rsidR="00965E7D">
        <w:rPr>
          <w:rFonts w:eastAsia="Times New Roman" w:cs="Verdana"/>
          <w:sz w:val="20"/>
          <w:szCs w:val="20"/>
        </w:rPr>
        <w:t>%</w:t>
      </w:r>
      <w:r w:rsidR="00230ACC">
        <w:rPr>
          <w:rFonts w:eastAsia="Times New Roman" w:cs="Verdana"/>
          <w:sz w:val="20"/>
          <w:szCs w:val="20"/>
        </w:rPr>
        <w:t xml:space="preserve"> par rapport aux neuf premiers mois de 2013</w:t>
      </w:r>
      <w:r w:rsidR="00965E7D">
        <w:rPr>
          <w:rFonts w:eastAsia="Times New Roman" w:cs="Verdana"/>
          <w:sz w:val="20"/>
          <w:szCs w:val="20"/>
        </w:rPr>
        <w:t>.</w:t>
      </w:r>
    </w:p>
    <w:p w:rsidR="00965E7D" w:rsidRDefault="00965E7D" w:rsidP="001F04C9">
      <w:pPr>
        <w:tabs>
          <w:tab w:val="left" w:pos="426"/>
        </w:tabs>
        <w:autoSpaceDE w:val="0"/>
        <w:autoSpaceDN w:val="0"/>
        <w:adjustRightInd w:val="0"/>
        <w:rPr>
          <w:rFonts w:eastAsia="Times New Roman" w:cs="Verdana"/>
          <w:sz w:val="20"/>
          <w:szCs w:val="20"/>
        </w:rPr>
      </w:pPr>
    </w:p>
    <w:p w:rsidR="001F04C9" w:rsidRPr="005627AD" w:rsidRDefault="001F04C9" w:rsidP="001F04C9">
      <w:pPr>
        <w:tabs>
          <w:tab w:val="left" w:pos="426"/>
        </w:tabs>
        <w:autoSpaceDE w:val="0"/>
        <w:autoSpaceDN w:val="0"/>
        <w:adjustRightInd w:val="0"/>
        <w:rPr>
          <w:rFonts w:eastAsia="Times New Roman" w:cs="Verdana"/>
          <w:sz w:val="20"/>
          <w:szCs w:val="20"/>
        </w:rPr>
      </w:pPr>
      <w:r w:rsidRPr="005627AD">
        <w:rPr>
          <w:rFonts w:eastAsia="Times New Roman" w:cs="Verdana"/>
          <w:b/>
          <w:sz w:val="20"/>
          <w:szCs w:val="20"/>
        </w:rPr>
        <w:t>Le ROE des métiers cœurs</w:t>
      </w:r>
      <w:r>
        <w:rPr>
          <w:rFonts w:eastAsia="Times New Roman" w:cs="Verdana"/>
          <w:sz w:val="20"/>
          <w:szCs w:val="20"/>
        </w:rPr>
        <w:t xml:space="preserve"> de Natixis s’établit à 12</w:t>
      </w:r>
      <w:r w:rsidRPr="005627AD">
        <w:rPr>
          <w:rFonts w:eastAsia="Times New Roman" w:cs="Verdana"/>
          <w:sz w:val="20"/>
          <w:szCs w:val="20"/>
        </w:rPr>
        <w:t> %</w:t>
      </w:r>
      <w:r w:rsidR="00D36F82">
        <w:rPr>
          <w:rFonts w:eastAsia="Times New Roman" w:cs="Verdana"/>
          <w:sz w:val="20"/>
          <w:szCs w:val="20"/>
        </w:rPr>
        <w:t xml:space="preserve"> sur les </w:t>
      </w:r>
      <w:r w:rsidR="00535E8D">
        <w:rPr>
          <w:rFonts w:eastAsia="Times New Roman" w:cs="Verdana"/>
          <w:sz w:val="20"/>
          <w:szCs w:val="20"/>
        </w:rPr>
        <w:t>neuf</w:t>
      </w:r>
      <w:r w:rsidR="00D36F82">
        <w:rPr>
          <w:rFonts w:eastAsia="Times New Roman" w:cs="Verdana"/>
          <w:sz w:val="20"/>
          <w:szCs w:val="20"/>
        </w:rPr>
        <w:t xml:space="preserve"> premiers mois</w:t>
      </w:r>
      <w:r w:rsidR="00C8171F">
        <w:rPr>
          <w:rFonts w:eastAsia="Times New Roman" w:cs="Verdana"/>
          <w:sz w:val="20"/>
          <w:szCs w:val="20"/>
        </w:rPr>
        <w:t xml:space="preserve"> de 2014</w:t>
      </w:r>
      <w:r w:rsidRPr="005627AD">
        <w:rPr>
          <w:rFonts w:eastAsia="Times New Roman" w:cs="Verdana"/>
          <w:sz w:val="20"/>
          <w:szCs w:val="20"/>
        </w:rPr>
        <w:t xml:space="preserve">, en augmentation de </w:t>
      </w:r>
      <w:r>
        <w:rPr>
          <w:rFonts w:eastAsia="Times New Roman" w:cs="Verdana"/>
          <w:sz w:val="20"/>
          <w:szCs w:val="20"/>
        </w:rPr>
        <w:t>2</w:t>
      </w:r>
      <w:r w:rsidRPr="005627AD">
        <w:rPr>
          <w:rFonts w:eastAsia="Times New Roman" w:cs="Verdana"/>
          <w:sz w:val="20"/>
          <w:szCs w:val="20"/>
        </w:rPr>
        <w:t> points.</w:t>
      </w:r>
    </w:p>
    <w:p w:rsidR="001F04C9" w:rsidRPr="00A52285" w:rsidRDefault="001F04C9" w:rsidP="001F04C9">
      <w:pPr>
        <w:tabs>
          <w:tab w:val="left" w:pos="426"/>
        </w:tabs>
        <w:autoSpaceDE w:val="0"/>
        <w:autoSpaceDN w:val="0"/>
        <w:adjustRightInd w:val="0"/>
        <w:rPr>
          <w:rFonts w:eastAsia="Times New Roman" w:cs="Verdana"/>
          <w:color w:val="FF0000"/>
          <w:sz w:val="20"/>
          <w:szCs w:val="20"/>
        </w:rPr>
      </w:pPr>
    </w:p>
    <w:p w:rsidR="001F04C9" w:rsidRPr="003B2191" w:rsidRDefault="001F04C9" w:rsidP="001F04C9">
      <w:pPr>
        <w:tabs>
          <w:tab w:val="left" w:pos="426"/>
        </w:tabs>
        <w:rPr>
          <w:rFonts w:eastAsia="Times New Roman" w:cs="Times New Roman"/>
          <w:b/>
          <w:sz w:val="20"/>
          <w:szCs w:val="20"/>
        </w:rPr>
      </w:pPr>
      <w:r w:rsidRPr="003B2191">
        <w:rPr>
          <w:rFonts w:eastAsia="Times New Roman" w:cs="Verdana,Italic"/>
          <w:i/>
          <w:iCs/>
          <w:sz w:val="20"/>
          <w:szCs w:val="20"/>
        </w:rPr>
        <w:t xml:space="preserve">(Pour une analyse plus détaillée des métiers et des résultats de Natixis, merci de vous reporter au communiqué de presse de Natixis que vous trouverez en ligne sur </w:t>
      </w:r>
      <w:hyperlink r:id="rId9" w:history="1">
        <w:r w:rsidRPr="003B2191">
          <w:rPr>
            <w:rFonts w:eastAsia="Times New Roman" w:cs="Verdana,Italic"/>
            <w:i/>
            <w:iCs/>
            <w:sz w:val="20"/>
            <w:szCs w:val="20"/>
            <w:u w:val="single"/>
          </w:rPr>
          <w:t>www.natixis.com</w:t>
        </w:r>
      </w:hyperlink>
      <w:r w:rsidRPr="003B2191">
        <w:rPr>
          <w:rFonts w:eastAsia="Times New Roman" w:cs="Verdana,Italic"/>
          <w:i/>
          <w:iCs/>
          <w:sz w:val="20"/>
          <w:szCs w:val="20"/>
        </w:rPr>
        <w:t>).</w:t>
      </w:r>
    </w:p>
    <w:p w:rsidR="00F90C66" w:rsidRDefault="00F90C66">
      <w:pPr>
        <w:spacing w:after="200" w:line="276" w:lineRule="auto"/>
        <w:jc w:val="left"/>
        <w:rPr>
          <w:rFonts w:eastAsia="Times New Roman" w:cs="Times New Roman"/>
          <w:b/>
          <w:color w:val="E36C0A"/>
          <w:sz w:val="20"/>
          <w:szCs w:val="20"/>
        </w:rPr>
      </w:pPr>
      <w:r>
        <w:rPr>
          <w:rFonts w:eastAsia="Times New Roman" w:cs="Times New Roman"/>
          <w:b/>
          <w:color w:val="E36C0A"/>
          <w:sz w:val="20"/>
          <w:szCs w:val="20"/>
        </w:rPr>
        <w:br w:type="page"/>
      </w:r>
    </w:p>
    <w:p w:rsidR="009072A9" w:rsidRPr="001A5D81" w:rsidRDefault="009072A9" w:rsidP="009072A9">
      <w:pPr>
        <w:jc w:val="left"/>
        <w:rPr>
          <w:rFonts w:eastAsia="Times New Roman" w:cs="Times New Roman"/>
          <w:b/>
          <w:color w:val="581D74"/>
          <w:sz w:val="20"/>
          <w:szCs w:val="20"/>
        </w:rPr>
      </w:pPr>
      <w:r w:rsidRPr="001A5D81">
        <w:rPr>
          <w:rFonts w:eastAsia="Times New Roman" w:cs="Times New Roman"/>
          <w:b/>
          <w:color w:val="E36C0A"/>
          <w:sz w:val="20"/>
          <w:szCs w:val="20"/>
        </w:rPr>
        <w:lastRenderedPageBreak/>
        <w:t>3.</w:t>
      </w:r>
      <w:r>
        <w:rPr>
          <w:rFonts w:eastAsia="Times New Roman" w:cs="Times New Roman"/>
          <w:b/>
          <w:color w:val="E36C0A"/>
          <w:sz w:val="20"/>
          <w:szCs w:val="20"/>
        </w:rPr>
        <w:t>3</w:t>
      </w:r>
      <w:r w:rsidRPr="001A5D81">
        <w:rPr>
          <w:rFonts w:eastAsia="Times New Roman" w:cs="Times New Roman"/>
          <w:b/>
          <w:color w:val="E36C0A"/>
          <w:sz w:val="20"/>
          <w:szCs w:val="20"/>
        </w:rPr>
        <w:t xml:space="preserve"> </w:t>
      </w:r>
      <w:r w:rsidRPr="001A5D81">
        <w:rPr>
          <w:rFonts w:eastAsia="Times New Roman" w:cs="Times New Roman"/>
          <w:b/>
          <w:color w:val="581D6E"/>
          <w:sz w:val="20"/>
          <w:szCs w:val="20"/>
        </w:rPr>
        <w:t>Participations financières</w:t>
      </w:r>
    </w:p>
    <w:p w:rsidR="009072A9" w:rsidRPr="001A5D81" w:rsidRDefault="009072A9" w:rsidP="009072A9">
      <w:pPr>
        <w:tabs>
          <w:tab w:val="left" w:pos="426"/>
        </w:tabs>
        <w:rPr>
          <w:rFonts w:eastAsia="Times New Roman" w:cs="Times New Roman"/>
          <w:b/>
          <w:color w:val="E36C0A"/>
          <w:sz w:val="20"/>
          <w:szCs w:val="20"/>
        </w:rPr>
      </w:pPr>
    </w:p>
    <w:p w:rsidR="009072A9" w:rsidRPr="00557BEC" w:rsidRDefault="009072A9" w:rsidP="009072A9">
      <w:pPr>
        <w:tabs>
          <w:tab w:val="left" w:pos="426"/>
        </w:tabs>
        <w:spacing w:after="200"/>
        <w:rPr>
          <w:rFonts w:eastAsia="Times New Roman" w:cs="Verdana,Italic"/>
          <w:i/>
          <w:iCs/>
          <w:color w:val="825D69" w:themeColor="text2"/>
          <w:sz w:val="18"/>
          <w:szCs w:val="18"/>
        </w:rPr>
      </w:pPr>
      <w:r w:rsidRPr="00557BEC">
        <w:rPr>
          <w:rFonts w:eastAsia="Times New Roman" w:cs="Verdana,Italic"/>
          <w:i/>
          <w:iCs/>
          <w:color w:val="825D69" w:themeColor="text2"/>
          <w:sz w:val="18"/>
          <w:szCs w:val="18"/>
        </w:rPr>
        <w:t xml:space="preserve">Les participations financières concernent principalement les activités de Coface et de </w:t>
      </w:r>
      <w:proofErr w:type="spellStart"/>
      <w:r w:rsidRPr="00557BEC">
        <w:rPr>
          <w:rFonts w:eastAsia="Times New Roman" w:cs="Verdana,Italic"/>
          <w:i/>
          <w:iCs/>
          <w:color w:val="825D69" w:themeColor="text2"/>
          <w:sz w:val="18"/>
          <w:szCs w:val="18"/>
        </w:rPr>
        <w:t>Nexity</w:t>
      </w:r>
      <w:proofErr w:type="spellEnd"/>
      <w:r w:rsidRPr="00557BEC">
        <w:rPr>
          <w:rFonts w:eastAsia="Times New Roman" w:cs="Verdana,Italic"/>
          <w:i/>
          <w:iCs/>
          <w:color w:val="825D69" w:themeColor="text2"/>
          <w:sz w:val="18"/>
          <w:szCs w:val="18"/>
          <w:vertAlign w:val="superscript"/>
        </w:rPr>
        <w:footnoteReference w:id="27"/>
      </w:r>
      <w:r w:rsidRPr="00557BEC">
        <w:rPr>
          <w:rFonts w:eastAsia="Times New Roman" w:cs="Verdana,Italic"/>
          <w:i/>
          <w:iCs/>
          <w:color w:val="825D69" w:themeColor="text2"/>
          <w:sz w:val="18"/>
          <w:szCs w:val="18"/>
          <w:vertAlign w:val="superscript"/>
        </w:rPr>
        <w:t>.</w:t>
      </w:r>
    </w:p>
    <w:p w:rsidR="009072A9" w:rsidRPr="00557BEC" w:rsidRDefault="009072A9" w:rsidP="009072A9">
      <w:pPr>
        <w:tabs>
          <w:tab w:val="left" w:pos="426"/>
        </w:tabs>
        <w:autoSpaceDE w:val="0"/>
        <w:autoSpaceDN w:val="0"/>
        <w:adjustRightInd w:val="0"/>
        <w:rPr>
          <w:rFonts w:eastAsia="Times New Roman" w:cs="Verdana"/>
          <w:sz w:val="20"/>
          <w:szCs w:val="20"/>
        </w:rPr>
      </w:pPr>
      <w:r>
        <w:rPr>
          <w:rFonts w:eastAsia="Times New Roman" w:cs="Verdana"/>
          <w:sz w:val="20"/>
          <w:szCs w:val="20"/>
        </w:rPr>
        <w:t>Au trois</w:t>
      </w:r>
      <w:r w:rsidRPr="00557BEC">
        <w:rPr>
          <w:rFonts w:eastAsia="Times New Roman" w:cs="Verdana"/>
          <w:sz w:val="20"/>
          <w:szCs w:val="20"/>
        </w:rPr>
        <w:t>ième trimestre 2014, le produit net bancaire des participa</w:t>
      </w:r>
      <w:r>
        <w:rPr>
          <w:rFonts w:eastAsia="Times New Roman" w:cs="Verdana"/>
          <w:sz w:val="20"/>
          <w:szCs w:val="20"/>
        </w:rPr>
        <w:t>tions financières s’établit à 419 millions d’euros, en hausse de 5</w:t>
      </w:r>
      <w:r w:rsidRPr="00557BEC">
        <w:rPr>
          <w:rFonts w:eastAsia="Times New Roman" w:cs="Verdana"/>
          <w:sz w:val="20"/>
          <w:szCs w:val="20"/>
        </w:rPr>
        <w:t>,</w:t>
      </w:r>
      <w:r>
        <w:rPr>
          <w:rFonts w:eastAsia="Times New Roman" w:cs="Verdana"/>
          <w:sz w:val="20"/>
          <w:szCs w:val="20"/>
        </w:rPr>
        <w:t>3 % par rapport au troisi</w:t>
      </w:r>
      <w:r w:rsidRPr="00557BEC">
        <w:rPr>
          <w:rFonts w:eastAsia="Times New Roman" w:cs="Verdana"/>
          <w:sz w:val="20"/>
          <w:szCs w:val="20"/>
        </w:rPr>
        <w:t xml:space="preserve">ème trimestre 2013. </w:t>
      </w:r>
    </w:p>
    <w:p w:rsidR="009072A9" w:rsidRPr="00557BEC" w:rsidRDefault="009072A9" w:rsidP="009072A9">
      <w:pPr>
        <w:tabs>
          <w:tab w:val="left" w:pos="426"/>
        </w:tabs>
        <w:autoSpaceDE w:val="0"/>
        <w:autoSpaceDN w:val="0"/>
        <w:adjustRightInd w:val="0"/>
        <w:rPr>
          <w:rFonts w:eastAsia="Times New Roman" w:cs="Verdana"/>
          <w:sz w:val="20"/>
          <w:szCs w:val="20"/>
        </w:rPr>
      </w:pPr>
      <w:r w:rsidRPr="00557BEC">
        <w:rPr>
          <w:rFonts w:eastAsia="Times New Roman" w:cs="Verdana"/>
          <w:sz w:val="20"/>
          <w:szCs w:val="20"/>
        </w:rPr>
        <w:t>Le résultat avant impôt est de 74 millions d’euros</w:t>
      </w:r>
      <w:r w:rsidR="00965E7D">
        <w:rPr>
          <w:rFonts w:eastAsia="Times New Roman" w:cs="Verdana"/>
          <w:sz w:val="20"/>
          <w:szCs w:val="20"/>
        </w:rPr>
        <w:t>, en hausse de 44,8</w:t>
      </w:r>
      <w:r w:rsidR="00E14A6F">
        <w:rPr>
          <w:rFonts w:eastAsia="Times New Roman" w:cs="Verdana"/>
          <w:sz w:val="20"/>
          <w:szCs w:val="20"/>
        </w:rPr>
        <w:t> </w:t>
      </w:r>
      <w:r w:rsidR="00965E7D">
        <w:rPr>
          <w:rFonts w:eastAsia="Times New Roman" w:cs="Verdana"/>
          <w:sz w:val="20"/>
          <w:szCs w:val="20"/>
        </w:rPr>
        <w:t xml:space="preserve">% </w:t>
      </w:r>
      <w:r w:rsidR="00A32F97">
        <w:rPr>
          <w:rFonts w:eastAsia="Times New Roman" w:cs="Verdana"/>
          <w:sz w:val="20"/>
          <w:szCs w:val="20"/>
        </w:rPr>
        <w:t>par rapport à</w:t>
      </w:r>
      <w:r w:rsidR="00965E7D">
        <w:rPr>
          <w:rFonts w:eastAsia="Times New Roman" w:cs="Verdana"/>
          <w:sz w:val="20"/>
          <w:szCs w:val="20"/>
        </w:rPr>
        <w:t xml:space="preserve"> </w:t>
      </w:r>
      <w:r w:rsidR="009F230D">
        <w:rPr>
          <w:rFonts w:eastAsia="Times New Roman" w:cs="Verdana"/>
          <w:sz w:val="20"/>
          <w:szCs w:val="20"/>
        </w:rPr>
        <w:t>la m</w:t>
      </w:r>
      <w:r w:rsidR="003A658C">
        <w:rPr>
          <w:rFonts w:eastAsia="Times New Roman" w:cs="Verdana"/>
          <w:sz w:val="20"/>
          <w:szCs w:val="20"/>
        </w:rPr>
        <w:t>ême période</w:t>
      </w:r>
      <w:r w:rsidRPr="00557BEC">
        <w:rPr>
          <w:rFonts w:eastAsia="Times New Roman" w:cs="Verdana"/>
          <w:sz w:val="20"/>
          <w:szCs w:val="20"/>
        </w:rPr>
        <w:t>.</w:t>
      </w:r>
      <w:r w:rsidR="00A32F97">
        <w:rPr>
          <w:rFonts w:eastAsia="Times New Roman" w:cs="Verdana"/>
          <w:sz w:val="20"/>
          <w:szCs w:val="20"/>
        </w:rPr>
        <w:t xml:space="preserve"> </w:t>
      </w:r>
      <w:r w:rsidR="00A32F97">
        <w:rPr>
          <w:rFonts w:eastAsia="Times New Roman" w:cs="Verdana,Italic"/>
          <w:iCs/>
          <w:sz w:val="20"/>
          <w:szCs w:val="20"/>
        </w:rPr>
        <w:t>Sur les neuf premiers mois de 2014, la contribution au résultat avant impôt du groupe augmente de 2,4 % à 212 millions d’euros.</w:t>
      </w:r>
    </w:p>
    <w:p w:rsidR="009072A9" w:rsidRPr="001A5D81" w:rsidRDefault="009072A9" w:rsidP="009072A9">
      <w:pPr>
        <w:tabs>
          <w:tab w:val="left" w:pos="426"/>
        </w:tabs>
        <w:autoSpaceDE w:val="0"/>
        <w:autoSpaceDN w:val="0"/>
        <w:adjustRightInd w:val="0"/>
        <w:rPr>
          <w:rFonts w:eastAsia="Times New Roman" w:cs="Verdana"/>
          <w:sz w:val="20"/>
          <w:szCs w:val="20"/>
        </w:rPr>
      </w:pPr>
    </w:p>
    <w:p w:rsidR="009072A9" w:rsidRPr="004F4252" w:rsidRDefault="009072A9" w:rsidP="009072A9">
      <w:pPr>
        <w:numPr>
          <w:ilvl w:val="1"/>
          <w:numId w:val="4"/>
        </w:numPr>
        <w:tabs>
          <w:tab w:val="left" w:pos="426"/>
          <w:tab w:val="num" w:pos="720"/>
          <w:tab w:val="num" w:pos="993"/>
        </w:tabs>
        <w:autoSpaceDE w:val="0"/>
        <w:autoSpaceDN w:val="0"/>
        <w:adjustRightInd w:val="0"/>
        <w:spacing w:before="60" w:after="200" w:line="340" w:lineRule="atLeast"/>
        <w:ind w:left="993" w:hanging="284"/>
        <w:jc w:val="left"/>
        <w:rPr>
          <w:rFonts w:eastAsia="Times New Roman" w:cs="Verdana"/>
          <w:sz w:val="20"/>
          <w:szCs w:val="20"/>
        </w:rPr>
      </w:pPr>
      <w:r w:rsidRPr="001A5D81">
        <w:rPr>
          <w:rFonts w:eastAsia="Calibri" w:cs="Verdana"/>
          <w:b/>
          <w:sz w:val="20"/>
          <w:szCs w:val="20"/>
          <w:lang w:eastAsia="en-US"/>
        </w:rPr>
        <w:t xml:space="preserve">Coface </w:t>
      </w:r>
    </w:p>
    <w:p w:rsidR="009072A9" w:rsidRPr="00841A68" w:rsidRDefault="009072A9" w:rsidP="009072A9">
      <w:pPr>
        <w:tabs>
          <w:tab w:val="left" w:pos="426"/>
        </w:tabs>
        <w:autoSpaceDE w:val="0"/>
        <w:autoSpaceDN w:val="0"/>
        <w:adjustRightInd w:val="0"/>
        <w:rPr>
          <w:rFonts w:eastAsia="Times New Roman" w:cs="Verdana"/>
          <w:sz w:val="20"/>
          <w:szCs w:val="20"/>
        </w:rPr>
      </w:pPr>
      <w:r w:rsidRPr="00841A68">
        <w:rPr>
          <w:rFonts w:eastAsia="Times New Roman" w:cs="Verdana"/>
          <w:sz w:val="20"/>
          <w:szCs w:val="20"/>
        </w:rPr>
        <w:t>L’activité commerciale de C</w:t>
      </w:r>
      <w:r>
        <w:rPr>
          <w:rFonts w:eastAsia="Times New Roman" w:cs="Verdana"/>
          <w:sz w:val="20"/>
          <w:szCs w:val="20"/>
        </w:rPr>
        <w:t>o</w:t>
      </w:r>
      <w:r w:rsidRPr="00841A68">
        <w:rPr>
          <w:rFonts w:eastAsia="Times New Roman" w:cs="Verdana"/>
          <w:sz w:val="20"/>
          <w:szCs w:val="20"/>
        </w:rPr>
        <w:t>face reste dynamique</w:t>
      </w:r>
      <w:r>
        <w:rPr>
          <w:rFonts w:eastAsia="Times New Roman" w:cs="Verdana"/>
          <w:sz w:val="20"/>
          <w:szCs w:val="20"/>
        </w:rPr>
        <w:t>.</w:t>
      </w:r>
      <w:r w:rsidRPr="00841A68">
        <w:rPr>
          <w:rFonts w:eastAsia="Times New Roman" w:cs="Verdana"/>
          <w:sz w:val="20"/>
          <w:szCs w:val="20"/>
        </w:rPr>
        <w:t xml:space="preserve"> </w:t>
      </w:r>
      <w:r w:rsidR="007E7C17">
        <w:rPr>
          <w:rFonts w:eastAsia="Times New Roman" w:cs="Verdana"/>
          <w:sz w:val="20"/>
          <w:szCs w:val="20"/>
        </w:rPr>
        <w:t>L</w:t>
      </w:r>
      <w:r w:rsidRPr="00841A68">
        <w:rPr>
          <w:rFonts w:eastAsia="Times New Roman" w:cs="Verdana"/>
          <w:sz w:val="20"/>
          <w:szCs w:val="20"/>
        </w:rPr>
        <w:t>e chiffre d’affaires</w:t>
      </w:r>
      <w:r>
        <w:rPr>
          <w:rStyle w:val="Appelnotedebasdep"/>
          <w:rFonts w:eastAsia="Times New Roman" w:cs="Verdana"/>
          <w:sz w:val="20"/>
          <w:szCs w:val="20"/>
        </w:rPr>
        <w:footnoteReference w:id="28"/>
      </w:r>
      <w:r w:rsidRPr="00841A68">
        <w:rPr>
          <w:rFonts w:eastAsia="Times New Roman" w:cs="Verdana"/>
          <w:sz w:val="20"/>
          <w:szCs w:val="20"/>
        </w:rPr>
        <w:t xml:space="preserve"> progresse de </w:t>
      </w:r>
      <w:r w:rsidR="00446F15">
        <w:rPr>
          <w:rFonts w:eastAsia="Times New Roman" w:cs="Verdana"/>
          <w:sz w:val="20"/>
          <w:szCs w:val="20"/>
        </w:rPr>
        <w:t>1,7</w:t>
      </w:r>
      <w:r w:rsidR="00446F15" w:rsidRPr="00841A68">
        <w:rPr>
          <w:rFonts w:eastAsia="Times New Roman" w:cs="Verdana"/>
          <w:sz w:val="20"/>
          <w:szCs w:val="20"/>
        </w:rPr>
        <w:t> </w:t>
      </w:r>
      <w:r w:rsidRPr="00841A68">
        <w:rPr>
          <w:rFonts w:eastAsia="Times New Roman" w:cs="Verdana"/>
          <w:sz w:val="20"/>
          <w:szCs w:val="20"/>
        </w:rPr>
        <w:t xml:space="preserve">% </w:t>
      </w:r>
      <w:r w:rsidR="007E7C17">
        <w:rPr>
          <w:rFonts w:eastAsia="Times New Roman" w:cs="Verdana"/>
          <w:sz w:val="20"/>
          <w:szCs w:val="20"/>
        </w:rPr>
        <w:t>a</w:t>
      </w:r>
      <w:r w:rsidR="007E7C17" w:rsidRPr="00841A68">
        <w:rPr>
          <w:rFonts w:eastAsia="Times New Roman" w:cs="Verdana"/>
          <w:sz w:val="20"/>
          <w:szCs w:val="20"/>
        </w:rPr>
        <w:t>u troisième trimestre 2014</w:t>
      </w:r>
      <w:r w:rsidR="007E7C17">
        <w:rPr>
          <w:rFonts w:eastAsia="Times New Roman" w:cs="Verdana"/>
          <w:sz w:val="20"/>
          <w:szCs w:val="20"/>
        </w:rPr>
        <w:t xml:space="preserve"> </w:t>
      </w:r>
      <w:r w:rsidR="00446F15">
        <w:rPr>
          <w:rFonts w:eastAsia="Times New Roman" w:cs="Verdana"/>
          <w:sz w:val="20"/>
          <w:szCs w:val="20"/>
        </w:rPr>
        <w:t xml:space="preserve">par rapport au </w:t>
      </w:r>
      <w:r w:rsidR="007E7C17">
        <w:rPr>
          <w:rFonts w:eastAsia="Times New Roman" w:cs="Verdana"/>
          <w:sz w:val="20"/>
          <w:szCs w:val="20"/>
        </w:rPr>
        <w:t xml:space="preserve">même </w:t>
      </w:r>
      <w:r w:rsidR="00446F15">
        <w:rPr>
          <w:rFonts w:eastAsia="Times New Roman" w:cs="Verdana"/>
          <w:sz w:val="20"/>
          <w:szCs w:val="20"/>
        </w:rPr>
        <w:t xml:space="preserve">trimestre </w:t>
      </w:r>
      <w:r w:rsidR="007E7C17">
        <w:rPr>
          <w:rFonts w:eastAsia="Times New Roman" w:cs="Verdana"/>
          <w:sz w:val="20"/>
          <w:szCs w:val="20"/>
        </w:rPr>
        <w:t xml:space="preserve">en </w:t>
      </w:r>
      <w:r w:rsidR="00446F15">
        <w:rPr>
          <w:rFonts w:eastAsia="Times New Roman" w:cs="Verdana"/>
          <w:sz w:val="20"/>
          <w:szCs w:val="20"/>
        </w:rPr>
        <w:t>2013</w:t>
      </w:r>
      <w:r w:rsidRPr="00841A68">
        <w:rPr>
          <w:rFonts w:eastAsia="Times New Roman" w:cs="Verdana"/>
          <w:sz w:val="20"/>
          <w:szCs w:val="20"/>
        </w:rPr>
        <w:t xml:space="preserve"> </w:t>
      </w:r>
      <w:r w:rsidR="007E7C17">
        <w:rPr>
          <w:rFonts w:eastAsia="Times New Roman" w:cs="Verdana"/>
          <w:sz w:val="20"/>
          <w:szCs w:val="20"/>
        </w:rPr>
        <w:t xml:space="preserve">et de </w:t>
      </w:r>
      <w:r w:rsidR="00446F15">
        <w:rPr>
          <w:rFonts w:eastAsia="Times New Roman" w:cs="Verdana"/>
          <w:sz w:val="20"/>
          <w:szCs w:val="20"/>
        </w:rPr>
        <w:t>1,8</w:t>
      </w:r>
      <w:r w:rsidR="00F22DFA">
        <w:rPr>
          <w:rFonts w:eastAsia="Times New Roman" w:cs="Verdana"/>
          <w:sz w:val="20"/>
          <w:szCs w:val="20"/>
        </w:rPr>
        <w:t> </w:t>
      </w:r>
      <w:r w:rsidR="00446F15">
        <w:rPr>
          <w:rFonts w:eastAsia="Times New Roman" w:cs="Verdana"/>
          <w:sz w:val="20"/>
          <w:szCs w:val="20"/>
        </w:rPr>
        <w:t xml:space="preserve">% sur les </w:t>
      </w:r>
      <w:r w:rsidR="00535E8D">
        <w:rPr>
          <w:rFonts w:eastAsia="Times New Roman" w:cs="Verdana"/>
          <w:sz w:val="20"/>
          <w:szCs w:val="20"/>
        </w:rPr>
        <w:t>neuf</w:t>
      </w:r>
      <w:r w:rsidR="00446F15">
        <w:rPr>
          <w:rFonts w:eastAsia="Times New Roman" w:cs="Verdana"/>
          <w:sz w:val="20"/>
          <w:szCs w:val="20"/>
        </w:rPr>
        <w:t xml:space="preserve"> premiers mois de 2014</w:t>
      </w:r>
      <w:r w:rsidR="007E7C17" w:rsidRPr="007E7C17">
        <w:rPr>
          <w:rFonts w:eastAsia="Times New Roman" w:cs="Verdana"/>
          <w:sz w:val="20"/>
          <w:szCs w:val="20"/>
        </w:rPr>
        <w:t xml:space="preserve"> </w:t>
      </w:r>
      <w:r w:rsidR="007E7C17">
        <w:rPr>
          <w:rFonts w:eastAsia="Times New Roman" w:cs="Verdana"/>
          <w:sz w:val="20"/>
          <w:szCs w:val="20"/>
        </w:rPr>
        <w:t>par rapport à la même période en 2013,</w:t>
      </w:r>
      <w:r w:rsidR="007E7C17" w:rsidRPr="007E7C17">
        <w:rPr>
          <w:rFonts w:eastAsia="Times New Roman" w:cs="Verdana"/>
          <w:sz w:val="20"/>
          <w:szCs w:val="20"/>
        </w:rPr>
        <w:t xml:space="preserve"> </w:t>
      </w:r>
      <w:r w:rsidR="007E7C17" w:rsidRPr="00841A68">
        <w:rPr>
          <w:rFonts w:eastAsia="Times New Roman" w:cs="Verdana"/>
          <w:sz w:val="20"/>
          <w:szCs w:val="20"/>
        </w:rPr>
        <w:t>conformément aux objectifs fixés</w:t>
      </w:r>
      <w:r w:rsidR="007E7C17">
        <w:rPr>
          <w:rFonts w:eastAsia="Times New Roman" w:cs="Verdana"/>
          <w:sz w:val="20"/>
          <w:szCs w:val="20"/>
        </w:rPr>
        <w:t>.</w:t>
      </w:r>
    </w:p>
    <w:p w:rsidR="009072A9" w:rsidRPr="006D6364" w:rsidRDefault="009072A9" w:rsidP="009072A9">
      <w:pPr>
        <w:tabs>
          <w:tab w:val="left" w:pos="426"/>
        </w:tabs>
        <w:autoSpaceDE w:val="0"/>
        <w:autoSpaceDN w:val="0"/>
        <w:adjustRightInd w:val="0"/>
        <w:rPr>
          <w:rFonts w:eastAsia="Times New Roman" w:cs="Verdana"/>
          <w:color w:val="FF0000"/>
          <w:sz w:val="20"/>
          <w:szCs w:val="20"/>
        </w:rPr>
      </w:pPr>
    </w:p>
    <w:p w:rsidR="009072A9" w:rsidRPr="00841A68" w:rsidRDefault="009072A9" w:rsidP="009072A9">
      <w:pPr>
        <w:tabs>
          <w:tab w:val="left" w:pos="426"/>
        </w:tabs>
        <w:autoSpaceDE w:val="0"/>
        <w:autoSpaceDN w:val="0"/>
        <w:adjustRightInd w:val="0"/>
        <w:rPr>
          <w:rFonts w:eastAsia="Times New Roman" w:cs="Verdana"/>
          <w:sz w:val="20"/>
          <w:szCs w:val="20"/>
        </w:rPr>
      </w:pPr>
      <w:r w:rsidRPr="00841A68">
        <w:rPr>
          <w:rFonts w:eastAsia="Times New Roman" w:cs="Verdana"/>
          <w:sz w:val="20"/>
          <w:szCs w:val="20"/>
        </w:rPr>
        <w:t>La gestion des risques est efficiente :</w:t>
      </w:r>
    </w:p>
    <w:p w:rsidR="00113BB0" w:rsidRDefault="009072A9" w:rsidP="009072A9">
      <w:pPr>
        <w:pStyle w:val="Paragraphedeliste"/>
        <w:numPr>
          <w:ilvl w:val="0"/>
          <w:numId w:val="22"/>
        </w:numPr>
        <w:tabs>
          <w:tab w:val="left" w:pos="426"/>
        </w:tabs>
        <w:autoSpaceDE w:val="0"/>
        <w:autoSpaceDN w:val="0"/>
        <w:adjustRightInd w:val="0"/>
        <w:rPr>
          <w:rFonts w:eastAsia="Times New Roman" w:cs="Verdana"/>
          <w:sz w:val="20"/>
          <w:szCs w:val="20"/>
        </w:rPr>
      </w:pPr>
      <w:r w:rsidRPr="00113BB0">
        <w:rPr>
          <w:rFonts w:eastAsia="Times New Roman" w:cs="Verdana"/>
          <w:sz w:val="20"/>
          <w:szCs w:val="20"/>
        </w:rPr>
        <w:t xml:space="preserve">le </w:t>
      </w:r>
      <w:proofErr w:type="spellStart"/>
      <w:r w:rsidRPr="00113BB0">
        <w:rPr>
          <w:rFonts w:eastAsia="Times New Roman" w:cs="Verdana"/>
          <w:sz w:val="20"/>
          <w:szCs w:val="20"/>
        </w:rPr>
        <w:t>loss</w:t>
      </w:r>
      <w:proofErr w:type="spellEnd"/>
      <w:r w:rsidRPr="00113BB0">
        <w:rPr>
          <w:rFonts w:eastAsia="Times New Roman" w:cs="Verdana"/>
          <w:sz w:val="20"/>
          <w:szCs w:val="20"/>
        </w:rPr>
        <w:t xml:space="preserve"> ratio</w:t>
      </w:r>
      <w:bookmarkStart w:id="12" w:name="_Ref394333515"/>
      <w:r w:rsidRPr="007E7BC7">
        <w:rPr>
          <w:rStyle w:val="Appelnotedebasdep"/>
          <w:rFonts w:eastAsia="Times New Roman" w:cs="Verdana"/>
          <w:sz w:val="20"/>
          <w:szCs w:val="20"/>
        </w:rPr>
        <w:footnoteReference w:id="29"/>
      </w:r>
      <w:bookmarkEnd w:id="12"/>
      <w:r w:rsidRPr="00113BB0">
        <w:rPr>
          <w:rFonts w:eastAsia="Times New Roman" w:cs="Verdana"/>
          <w:sz w:val="20"/>
          <w:szCs w:val="20"/>
        </w:rPr>
        <w:t xml:space="preserve"> baisse </w:t>
      </w:r>
      <w:r w:rsidR="00965E7D" w:rsidRPr="00113BB0">
        <w:rPr>
          <w:rFonts w:eastAsia="Times New Roman" w:cs="Verdana"/>
          <w:sz w:val="20"/>
          <w:szCs w:val="20"/>
        </w:rPr>
        <w:t xml:space="preserve">de </w:t>
      </w:r>
      <w:r w:rsidR="00113BB0">
        <w:rPr>
          <w:rFonts w:eastAsia="Times New Roman" w:cs="Verdana"/>
          <w:sz w:val="20"/>
          <w:szCs w:val="20"/>
        </w:rPr>
        <w:t>6</w:t>
      </w:r>
      <w:r w:rsidRPr="00113BB0">
        <w:rPr>
          <w:rFonts w:eastAsia="Times New Roman" w:cs="Verdana"/>
          <w:sz w:val="20"/>
          <w:szCs w:val="20"/>
        </w:rPr>
        <w:t xml:space="preserve"> points sur </w:t>
      </w:r>
      <w:r w:rsidR="00113BB0" w:rsidRPr="00113BB0">
        <w:rPr>
          <w:rFonts w:eastAsia="Times New Roman" w:cs="Verdana"/>
          <w:sz w:val="20"/>
          <w:szCs w:val="20"/>
        </w:rPr>
        <w:t xml:space="preserve">les </w:t>
      </w:r>
      <w:r w:rsidR="00535E8D">
        <w:rPr>
          <w:rFonts w:eastAsia="Times New Roman" w:cs="Verdana"/>
          <w:sz w:val="20"/>
          <w:szCs w:val="20"/>
        </w:rPr>
        <w:t>neuf</w:t>
      </w:r>
      <w:r w:rsidR="00113BB0" w:rsidRPr="00113BB0">
        <w:rPr>
          <w:rFonts w:eastAsia="Times New Roman" w:cs="Verdana"/>
          <w:sz w:val="20"/>
          <w:szCs w:val="20"/>
        </w:rPr>
        <w:t xml:space="preserve"> premiers mois de l’année 2014</w:t>
      </w:r>
      <w:r w:rsidR="007E7C17">
        <w:rPr>
          <w:rFonts w:eastAsia="Times New Roman" w:cs="Verdana"/>
          <w:sz w:val="20"/>
          <w:szCs w:val="20"/>
        </w:rPr>
        <w:t> ; il</w:t>
      </w:r>
      <w:r w:rsidRPr="00113BB0">
        <w:rPr>
          <w:rFonts w:eastAsia="Times New Roman" w:cs="Verdana"/>
          <w:sz w:val="20"/>
          <w:szCs w:val="20"/>
        </w:rPr>
        <w:t xml:space="preserve"> ressort à 4</w:t>
      </w:r>
      <w:r w:rsidR="00113BB0">
        <w:rPr>
          <w:rFonts w:eastAsia="Times New Roman" w:cs="Verdana"/>
          <w:sz w:val="20"/>
          <w:szCs w:val="20"/>
        </w:rPr>
        <w:t>9</w:t>
      </w:r>
      <w:r w:rsidRPr="00113BB0">
        <w:rPr>
          <w:rFonts w:eastAsia="Times New Roman" w:cs="Verdana"/>
          <w:sz w:val="20"/>
          <w:szCs w:val="20"/>
        </w:rPr>
        <w:t>,</w:t>
      </w:r>
      <w:r w:rsidR="00113BB0">
        <w:rPr>
          <w:rFonts w:eastAsia="Times New Roman" w:cs="Verdana"/>
          <w:sz w:val="20"/>
          <w:szCs w:val="20"/>
        </w:rPr>
        <w:t>7</w:t>
      </w:r>
      <w:r w:rsidRPr="00113BB0">
        <w:rPr>
          <w:rFonts w:eastAsia="Times New Roman" w:cs="Verdana"/>
          <w:sz w:val="20"/>
          <w:szCs w:val="20"/>
        </w:rPr>
        <w:t xml:space="preserve"> % </w:t>
      </w:r>
      <w:r w:rsidR="007E7C17">
        <w:rPr>
          <w:rFonts w:eastAsia="Times New Roman" w:cs="Verdana"/>
          <w:sz w:val="20"/>
          <w:szCs w:val="20"/>
        </w:rPr>
        <w:t>sur la période ;</w:t>
      </w:r>
    </w:p>
    <w:p w:rsidR="009072A9" w:rsidRPr="00113BB0" w:rsidRDefault="009072A9" w:rsidP="009072A9">
      <w:pPr>
        <w:pStyle w:val="Paragraphedeliste"/>
        <w:numPr>
          <w:ilvl w:val="0"/>
          <w:numId w:val="22"/>
        </w:numPr>
        <w:tabs>
          <w:tab w:val="left" w:pos="426"/>
        </w:tabs>
        <w:autoSpaceDE w:val="0"/>
        <w:autoSpaceDN w:val="0"/>
        <w:adjustRightInd w:val="0"/>
        <w:rPr>
          <w:rFonts w:eastAsia="Times New Roman" w:cs="Verdana"/>
          <w:sz w:val="20"/>
          <w:szCs w:val="20"/>
        </w:rPr>
      </w:pPr>
      <w:r w:rsidRPr="00113BB0">
        <w:rPr>
          <w:rFonts w:eastAsia="Times New Roman" w:cs="Verdana"/>
          <w:sz w:val="20"/>
          <w:szCs w:val="20"/>
        </w:rPr>
        <w:t xml:space="preserve">le </w:t>
      </w:r>
      <w:proofErr w:type="spellStart"/>
      <w:r w:rsidRPr="00113BB0">
        <w:rPr>
          <w:rFonts w:eastAsia="Times New Roman" w:cs="Verdana"/>
          <w:sz w:val="20"/>
          <w:szCs w:val="20"/>
        </w:rPr>
        <w:t>cost</w:t>
      </w:r>
      <w:proofErr w:type="spellEnd"/>
      <w:r w:rsidRPr="00113BB0">
        <w:rPr>
          <w:rFonts w:eastAsia="Times New Roman" w:cs="Verdana"/>
          <w:sz w:val="20"/>
          <w:szCs w:val="20"/>
        </w:rPr>
        <w:t xml:space="preserve"> ratio</w:t>
      </w:r>
      <w:r w:rsidR="007467DA" w:rsidRPr="007467DA">
        <w:rPr>
          <w:rFonts w:eastAsia="Times New Roman" w:cs="Verdana"/>
          <w:sz w:val="20"/>
          <w:szCs w:val="20"/>
        </w:rPr>
        <w:fldChar w:fldCharType="begin"/>
      </w:r>
      <w:r w:rsidR="007467DA" w:rsidRPr="007467DA">
        <w:rPr>
          <w:rFonts w:eastAsia="Times New Roman" w:cs="Verdana"/>
          <w:sz w:val="20"/>
          <w:szCs w:val="20"/>
        </w:rPr>
        <w:instrText xml:space="preserve"> NOTEREF _Ref394333515 \f \h </w:instrText>
      </w:r>
      <w:r w:rsidR="007467DA">
        <w:rPr>
          <w:rFonts w:eastAsia="Times New Roman" w:cs="Verdana"/>
          <w:sz w:val="20"/>
          <w:szCs w:val="20"/>
        </w:rPr>
        <w:instrText xml:space="preserve"> \* MERGEFORMAT </w:instrText>
      </w:r>
      <w:r w:rsidR="007467DA" w:rsidRPr="007467DA">
        <w:rPr>
          <w:rFonts w:eastAsia="Times New Roman" w:cs="Verdana"/>
          <w:sz w:val="20"/>
          <w:szCs w:val="20"/>
        </w:rPr>
      </w:r>
      <w:r w:rsidR="007467DA" w:rsidRPr="007467DA">
        <w:rPr>
          <w:rFonts w:eastAsia="Times New Roman" w:cs="Verdana"/>
          <w:sz w:val="20"/>
          <w:szCs w:val="20"/>
        </w:rPr>
        <w:fldChar w:fldCharType="separate"/>
      </w:r>
      <w:r w:rsidR="005D0707" w:rsidRPr="005D0707">
        <w:rPr>
          <w:rStyle w:val="Appelnotedebasdep"/>
          <w:sz w:val="20"/>
          <w:szCs w:val="20"/>
        </w:rPr>
        <w:t>29</w:t>
      </w:r>
      <w:r w:rsidR="007467DA" w:rsidRPr="007467DA">
        <w:rPr>
          <w:rFonts w:eastAsia="Times New Roman" w:cs="Verdana"/>
          <w:sz w:val="20"/>
          <w:szCs w:val="20"/>
        </w:rPr>
        <w:fldChar w:fldCharType="end"/>
      </w:r>
      <w:r w:rsidRPr="00113BB0">
        <w:rPr>
          <w:rFonts w:eastAsia="Times New Roman" w:cs="Verdana"/>
          <w:sz w:val="20"/>
          <w:szCs w:val="20"/>
          <w:vertAlign w:val="superscript"/>
        </w:rPr>
        <w:t xml:space="preserve"> </w:t>
      </w:r>
      <w:r w:rsidRPr="00113BB0">
        <w:rPr>
          <w:rFonts w:eastAsia="Times New Roman" w:cs="Verdana"/>
          <w:sz w:val="20"/>
          <w:szCs w:val="20"/>
        </w:rPr>
        <w:t xml:space="preserve">s’élève à 27,6 % sur les neuf </w:t>
      </w:r>
      <w:r w:rsidR="00965E7D" w:rsidRPr="00113BB0">
        <w:rPr>
          <w:rFonts w:eastAsia="Times New Roman" w:cs="Verdana"/>
          <w:sz w:val="20"/>
          <w:szCs w:val="20"/>
        </w:rPr>
        <w:t xml:space="preserve">premiers </w:t>
      </w:r>
      <w:r w:rsidRPr="00113BB0">
        <w:rPr>
          <w:rFonts w:eastAsia="Times New Roman" w:cs="Verdana"/>
          <w:sz w:val="20"/>
          <w:szCs w:val="20"/>
        </w:rPr>
        <w:t>mois de l’année 2014, en amélioration grâce à un strict contrôle des dépenses ;</w:t>
      </w:r>
    </w:p>
    <w:p w:rsidR="009072A9" w:rsidRPr="00E85D70" w:rsidRDefault="009072A9" w:rsidP="009072A9">
      <w:pPr>
        <w:pStyle w:val="Paragraphedeliste"/>
        <w:numPr>
          <w:ilvl w:val="0"/>
          <w:numId w:val="22"/>
        </w:numPr>
        <w:tabs>
          <w:tab w:val="left" w:pos="426"/>
        </w:tabs>
        <w:autoSpaceDE w:val="0"/>
        <w:autoSpaceDN w:val="0"/>
        <w:adjustRightInd w:val="0"/>
        <w:rPr>
          <w:rFonts w:eastAsia="Times New Roman" w:cs="Times New Roman"/>
          <w:b/>
          <w:bCs/>
          <w:i/>
          <w:iCs/>
          <w:sz w:val="18"/>
          <w:szCs w:val="18"/>
        </w:rPr>
      </w:pPr>
      <w:r>
        <w:rPr>
          <w:rFonts w:eastAsia="Times New Roman" w:cs="Verdana"/>
          <w:sz w:val="20"/>
          <w:szCs w:val="20"/>
        </w:rPr>
        <w:t>l</w:t>
      </w:r>
      <w:r w:rsidRPr="007E7BC7">
        <w:rPr>
          <w:rFonts w:eastAsia="Times New Roman" w:cs="Verdana"/>
          <w:sz w:val="20"/>
          <w:szCs w:val="20"/>
        </w:rPr>
        <w:t>e ratio combiné</w:t>
      </w:r>
      <w:r w:rsidR="007467DA" w:rsidRPr="003D15F1">
        <w:rPr>
          <w:rFonts w:eastAsia="Times New Roman" w:cs="Verdana"/>
          <w:sz w:val="18"/>
          <w:szCs w:val="18"/>
        </w:rPr>
        <w:fldChar w:fldCharType="begin"/>
      </w:r>
      <w:r w:rsidR="007467DA" w:rsidRPr="003D15F1">
        <w:rPr>
          <w:rFonts w:eastAsia="Times New Roman" w:cs="Verdana"/>
          <w:sz w:val="18"/>
          <w:szCs w:val="18"/>
        </w:rPr>
        <w:instrText xml:space="preserve"> NOTEREF _Ref394333515 \f \h </w:instrText>
      </w:r>
      <w:r w:rsidR="003D15F1">
        <w:rPr>
          <w:rFonts w:eastAsia="Times New Roman" w:cs="Verdana"/>
          <w:sz w:val="18"/>
          <w:szCs w:val="18"/>
        </w:rPr>
        <w:instrText xml:space="preserve"> \* MERGEFORMAT </w:instrText>
      </w:r>
      <w:r w:rsidR="007467DA" w:rsidRPr="003D15F1">
        <w:rPr>
          <w:rFonts w:eastAsia="Times New Roman" w:cs="Verdana"/>
          <w:sz w:val="18"/>
          <w:szCs w:val="18"/>
        </w:rPr>
      </w:r>
      <w:r w:rsidR="007467DA" w:rsidRPr="003D15F1">
        <w:rPr>
          <w:rFonts w:eastAsia="Times New Roman" w:cs="Verdana"/>
          <w:sz w:val="18"/>
          <w:szCs w:val="18"/>
        </w:rPr>
        <w:fldChar w:fldCharType="separate"/>
      </w:r>
      <w:r w:rsidR="005D0707" w:rsidRPr="005D0707">
        <w:rPr>
          <w:rStyle w:val="Appelnotedebasdep"/>
          <w:sz w:val="18"/>
          <w:szCs w:val="18"/>
        </w:rPr>
        <w:t>29</w:t>
      </w:r>
      <w:r w:rsidR="007467DA" w:rsidRPr="003D15F1">
        <w:rPr>
          <w:rFonts w:eastAsia="Times New Roman" w:cs="Verdana"/>
          <w:sz w:val="18"/>
          <w:szCs w:val="18"/>
        </w:rPr>
        <w:fldChar w:fldCharType="end"/>
      </w:r>
      <w:r w:rsidRPr="007E7BC7">
        <w:rPr>
          <w:rFonts w:eastAsia="Times New Roman" w:cs="Verdana"/>
          <w:sz w:val="20"/>
          <w:szCs w:val="20"/>
        </w:rPr>
        <w:t xml:space="preserve"> ressort à 77,</w:t>
      </w:r>
      <w:r>
        <w:rPr>
          <w:rFonts w:eastAsia="Times New Roman" w:cs="Verdana"/>
          <w:sz w:val="20"/>
          <w:szCs w:val="20"/>
        </w:rPr>
        <w:t>4</w:t>
      </w:r>
      <w:r w:rsidRPr="007E7BC7">
        <w:rPr>
          <w:rFonts w:eastAsia="Times New Roman" w:cs="Verdana"/>
          <w:sz w:val="20"/>
          <w:szCs w:val="20"/>
        </w:rPr>
        <w:t> %</w:t>
      </w:r>
      <w:r>
        <w:rPr>
          <w:rFonts w:eastAsia="Times New Roman" w:cs="Verdana"/>
          <w:sz w:val="20"/>
          <w:szCs w:val="20"/>
        </w:rPr>
        <w:t xml:space="preserve"> sur les neuf mois de l’année 2014</w:t>
      </w:r>
      <w:r w:rsidRPr="007E7BC7">
        <w:rPr>
          <w:rFonts w:eastAsia="Times New Roman" w:cs="Verdana"/>
          <w:sz w:val="20"/>
          <w:szCs w:val="20"/>
        </w:rPr>
        <w:t xml:space="preserve">, en </w:t>
      </w:r>
      <w:r>
        <w:rPr>
          <w:rFonts w:eastAsia="Times New Roman" w:cs="Verdana"/>
          <w:sz w:val="20"/>
          <w:szCs w:val="20"/>
        </w:rPr>
        <w:t xml:space="preserve">très </w:t>
      </w:r>
      <w:r w:rsidRPr="007E7BC7">
        <w:rPr>
          <w:rFonts w:eastAsia="Times New Roman" w:cs="Verdana"/>
          <w:sz w:val="20"/>
          <w:szCs w:val="20"/>
        </w:rPr>
        <w:t xml:space="preserve">nette amélioration </w:t>
      </w:r>
      <w:r w:rsidR="00F22DFA">
        <w:rPr>
          <w:rFonts w:eastAsia="Times New Roman" w:cs="Verdana"/>
          <w:sz w:val="20"/>
          <w:szCs w:val="20"/>
        </w:rPr>
        <w:t>(- </w:t>
      </w:r>
      <w:r w:rsidR="0034344F">
        <w:rPr>
          <w:rFonts w:eastAsia="Times New Roman" w:cs="Verdana"/>
          <w:sz w:val="20"/>
          <w:szCs w:val="20"/>
        </w:rPr>
        <w:t>6,5</w:t>
      </w:r>
      <w:r>
        <w:rPr>
          <w:rFonts w:eastAsia="Times New Roman" w:cs="Verdana"/>
          <w:sz w:val="20"/>
          <w:szCs w:val="20"/>
        </w:rPr>
        <w:t xml:space="preserve"> points par rapport à la même période en 2013). </w:t>
      </w:r>
    </w:p>
    <w:p w:rsidR="00E85D70" w:rsidRPr="007E7BC7" w:rsidRDefault="00E85D70" w:rsidP="00A675AE">
      <w:pPr>
        <w:pStyle w:val="Paragraphedeliste"/>
        <w:tabs>
          <w:tab w:val="left" w:pos="426"/>
        </w:tabs>
        <w:autoSpaceDE w:val="0"/>
        <w:autoSpaceDN w:val="0"/>
        <w:adjustRightInd w:val="0"/>
        <w:rPr>
          <w:rFonts w:eastAsia="Times New Roman" w:cs="Times New Roman"/>
          <w:b/>
          <w:bCs/>
          <w:i/>
          <w:iCs/>
          <w:sz w:val="18"/>
          <w:szCs w:val="18"/>
        </w:rPr>
      </w:pPr>
    </w:p>
    <w:p w:rsidR="00A514D1" w:rsidRPr="003A2FA1" w:rsidRDefault="00A514D1" w:rsidP="00A514D1">
      <w:pPr>
        <w:numPr>
          <w:ilvl w:val="1"/>
          <w:numId w:val="4"/>
        </w:numPr>
        <w:tabs>
          <w:tab w:val="left" w:pos="426"/>
          <w:tab w:val="num" w:pos="720"/>
          <w:tab w:val="num" w:pos="993"/>
        </w:tabs>
        <w:autoSpaceDE w:val="0"/>
        <w:autoSpaceDN w:val="0"/>
        <w:adjustRightInd w:val="0"/>
        <w:spacing w:before="60" w:after="200" w:line="340" w:lineRule="atLeast"/>
        <w:ind w:left="993" w:hanging="284"/>
        <w:jc w:val="left"/>
        <w:rPr>
          <w:rFonts w:eastAsia="Calibri" w:cs="Verdana"/>
          <w:b/>
          <w:sz w:val="20"/>
          <w:szCs w:val="20"/>
          <w:lang w:eastAsia="en-US"/>
        </w:rPr>
      </w:pPr>
      <w:proofErr w:type="spellStart"/>
      <w:r w:rsidRPr="00441656">
        <w:rPr>
          <w:rFonts w:eastAsia="Calibri" w:cs="Verdana"/>
          <w:b/>
          <w:sz w:val="20"/>
          <w:szCs w:val="20"/>
          <w:lang w:eastAsia="en-US"/>
        </w:rPr>
        <w:t>Nexity</w:t>
      </w:r>
      <w:proofErr w:type="spellEnd"/>
      <w:r w:rsidR="009879A7">
        <w:rPr>
          <w:rFonts w:eastAsia="Calibri" w:cs="Verdana"/>
          <w:b/>
          <w:sz w:val="20"/>
          <w:szCs w:val="20"/>
          <w:lang w:eastAsia="en-US"/>
        </w:rPr>
        <w:t xml:space="preserve"> </w:t>
      </w:r>
    </w:p>
    <w:p w:rsidR="00A514D1" w:rsidRPr="009341EB" w:rsidRDefault="00A514D1" w:rsidP="009341EB">
      <w:pPr>
        <w:shd w:val="clear" w:color="auto" w:fill="FFFFFF" w:themeFill="background1"/>
        <w:tabs>
          <w:tab w:val="left" w:pos="426"/>
        </w:tabs>
        <w:autoSpaceDE w:val="0"/>
        <w:autoSpaceDN w:val="0"/>
        <w:adjustRightInd w:val="0"/>
        <w:rPr>
          <w:rFonts w:eastAsia="Times New Roman" w:cs="Verdana"/>
          <w:sz w:val="20"/>
          <w:szCs w:val="20"/>
        </w:rPr>
      </w:pPr>
      <w:r w:rsidRPr="009341EB">
        <w:rPr>
          <w:rFonts w:eastAsia="Times New Roman" w:cs="Verdana"/>
          <w:sz w:val="20"/>
          <w:szCs w:val="20"/>
        </w:rPr>
        <w:t xml:space="preserve">Les réservations de logements neufs sont en légère hausse </w:t>
      </w:r>
      <w:r w:rsidR="00AA75D8" w:rsidRPr="009341EB">
        <w:rPr>
          <w:rFonts w:eastAsia="Times New Roman" w:cs="Verdana"/>
          <w:sz w:val="20"/>
          <w:szCs w:val="20"/>
        </w:rPr>
        <w:t>sur les neuf premiers mois de l’année 2014.</w:t>
      </w:r>
    </w:p>
    <w:p w:rsidR="00AA75D8" w:rsidRPr="009341EB" w:rsidRDefault="00AA75D8" w:rsidP="009341EB">
      <w:pPr>
        <w:shd w:val="clear" w:color="auto" w:fill="FFFFFF" w:themeFill="background1"/>
        <w:tabs>
          <w:tab w:val="left" w:pos="426"/>
        </w:tabs>
        <w:autoSpaceDE w:val="0"/>
        <w:autoSpaceDN w:val="0"/>
        <w:adjustRightInd w:val="0"/>
        <w:rPr>
          <w:rFonts w:eastAsia="Times New Roman" w:cs="Verdana"/>
          <w:sz w:val="20"/>
          <w:szCs w:val="20"/>
        </w:rPr>
      </w:pPr>
    </w:p>
    <w:p w:rsidR="00A514D1" w:rsidRPr="009341EB" w:rsidRDefault="00A514D1" w:rsidP="009341EB">
      <w:pPr>
        <w:shd w:val="clear" w:color="auto" w:fill="FFFFFF" w:themeFill="background1"/>
        <w:tabs>
          <w:tab w:val="left" w:pos="426"/>
        </w:tabs>
        <w:autoSpaceDE w:val="0"/>
        <w:autoSpaceDN w:val="0"/>
        <w:adjustRightInd w:val="0"/>
        <w:rPr>
          <w:rFonts w:eastAsia="Times New Roman" w:cs="Verdana"/>
          <w:sz w:val="20"/>
          <w:szCs w:val="20"/>
        </w:rPr>
      </w:pPr>
      <w:r w:rsidRPr="009341EB">
        <w:rPr>
          <w:rFonts w:eastAsia="Times New Roman" w:cs="Verdana"/>
          <w:sz w:val="20"/>
          <w:szCs w:val="20"/>
        </w:rPr>
        <w:t xml:space="preserve">Le carnet de commandes </w:t>
      </w:r>
      <w:r w:rsidR="00D549ED">
        <w:rPr>
          <w:rFonts w:eastAsia="Times New Roman" w:cs="Verdana"/>
          <w:sz w:val="20"/>
          <w:szCs w:val="20"/>
        </w:rPr>
        <w:t xml:space="preserve">atteint </w:t>
      </w:r>
      <w:r w:rsidR="00AA75D8" w:rsidRPr="009341EB">
        <w:rPr>
          <w:rFonts w:eastAsia="Times New Roman" w:cs="Verdana"/>
          <w:sz w:val="20"/>
          <w:szCs w:val="20"/>
        </w:rPr>
        <w:t>3</w:t>
      </w:r>
      <w:r w:rsidRPr="009341EB">
        <w:rPr>
          <w:rFonts w:eastAsia="Times New Roman" w:cs="Verdana"/>
          <w:sz w:val="20"/>
          <w:szCs w:val="20"/>
        </w:rPr>
        <w:t>,</w:t>
      </w:r>
      <w:r w:rsidR="00AA75D8" w:rsidRPr="009341EB">
        <w:rPr>
          <w:rFonts w:eastAsia="Times New Roman" w:cs="Verdana"/>
          <w:sz w:val="20"/>
          <w:szCs w:val="20"/>
        </w:rPr>
        <w:t>2</w:t>
      </w:r>
      <w:r w:rsidR="00F22DFA">
        <w:rPr>
          <w:rFonts w:eastAsia="Times New Roman" w:cs="Verdana"/>
          <w:sz w:val="20"/>
          <w:szCs w:val="20"/>
        </w:rPr>
        <w:t> milliards d’euros dont 2,9 </w:t>
      </w:r>
      <w:r w:rsidRPr="009341EB">
        <w:rPr>
          <w:rFonts w:eastAsia="Times New Roman" w:cs="Verdana"/>
          <w:sz w:val="20"/>
          <w:szCs w:val="20"/>
        </w:rPr>
        <w:t>milliards d’euros pour l’immobilier résidentiel, soit 19 mois d’activité de promotion.</w:t>
      </w:r>
    </w:p>
    <w:p w:rsidR="00A514D1" w:rsidRPr="009341EB" w:rsidRDefault="00A514D1" w:rsidP="009341EB">
      <w:pPr>
        <w:shd w:val="clear" w:color="auto" w:fill="FFFFFF" w:themeFill="background1"/>
        <w:tabs>
          <w:tab w:val="left" w:pos="426"/>
        </w:tabs>
        <w:autoSpaceDE w:val="0"/>
        <w:autoSpaceDN w:val="0"/>
        <w:adjustRightInd w:val="0"/>
        <w:rPr>
          <w:rFonts w:eastAsia="Times New Roman" w:cs="Verdana"/>
          <w:color w:val="FF0000"/>
          <w:sz w:val="20"/>
          <w:szCs w:val="20"/>
        </w:rPr>
      </w:pPr>
    </w:p>
    <w:p w:rsidR="00015C3D" w:rsidRPr="009341EB" w:rsidRDefault="00015C3D" w:rsidP="009341EB">
      <w:pPr>
        <w:pStyle w:val="Default"/>
        <w:shd w:val="clear" w:color="auto" w:fill="FFFFFF" w:themeFill="background1"/>
        <w:jc w:val="both"/>
        <w:rPr>
          <w:rFonts w:eastAsia="Times New Roman"/>
          <w:color w:val="auto"/>
          <w:sz w:val="20"/>
          <w:szCs w:val="20"/>
        </w:rPr>
      </w:pPr>
      <w:r w:rsidRPr="009341EB">
        <w:rPr>
          <w:rFonts w:eastAsia="Times New Roman"/>
          <w:color w:val="auto"/>
          <w:sz w:val="20"/>
          <w:szCs w:val="20"/>
        </w:rPr>
        <w:t>Le chiffre d’affaires</w:t>
      </w:r>
      <w:bookmarkStart w:id="13" w:name="_Ref402604871"/>
      <w:r w:rsidRPr="009341EB">
        <w:rPr>
          <w:rStyle w:val="Appelnotedebasdep"/>
          <w:rFonts w:eastAsia="Times New Roman"/>
          <w:color w:val="auto"/>
          <w:sz w:val="20"/>
          <w:szCs w:val="20"/>
        </w:rPr>
        <w:footnoteReference w:id="30"/>
      </w:r>
      <w:bookmarkEnd w:id="13"/>
      <w:r w:rsidR="00292DCD">
        <w:rPr>
          <w:rFonts w:eastAsia="Times New Roman"/>
          <w:color w:val="auto"/>
          <w:sz w:val="20"/>
          <w:szCs w:val="20"/>
        </w:rPr>
        <w:t xml:space="preserve"> </w:t>
      </w:r>
      <w:r w:rsidRPr="009341EB">
        <w:rPr>
          <w:rFonts w:eastAsia="Times New Roman"/>
          <w:color w:val="auto"/>
          <w:sz w:val="20"/>
          <w:szCs w:val="20"/>
        </w:rPr>
        <w:t>s’établit à 1,7 milliard d’euros sur les neuf premiers mois de l’année 2014, en baisse de 8,7</w:t>
      </w:r>
      <w:r w:rsidR="00F22DFA">
        <w:rPr>
          <w:rFonts w:eastAsia="Times New Roman"/>
          <w:color w:val="auto"/>
          <w:sz w:val="20"/>
          <w:szCs w:val="20"/>
        </w:rPr>
        <w:t> </w:t>
      </w:r>
      <w:r w:rsidRPr="009341EB">
        <w:rPr>
          <w:rFonts w:eastAsia="Times New Roman"/>
          <w:color w:val="auto"/>
          <w:sz w:val="20"/>
          <w:szCs w:val="20"/>
        </w:rPr>
        <w:t xml:space="preserve">% </w:t>
      </w:r>
      <w:r w:rsidR="00144364">
        <w:rPr>
          <w:rFonts w:eastAsia="Times New Roman"/>
          <w:color w:val="auto"/>
          <w:sz w:val="20"/>
          <w:szCs w:val="20"/>
        </w:rPr>
        <w:t xml:space="preserve">par rapport aux </w:t>
      </w:r>
      <w:r w:rsidRPr="009341EB">
        <w:rPr>
          <w:rFonts w:eastAsia="Times New Roman"/>
          <w:color w:val="auto"/>
          <w:sz w:val="20"/>
          <w:szCs w:val="20"/>
        </w:rPr>
        <w:t>n</w:t>
      </w:r>
      <w:r w:rsidR="00144364">
        <w:rPr>
          <w:rFonts w:eastAsia="Times New Roman"/>
          <w:color w:val="auto"/>
          <w:sz w:val="20"/>
          <w:szCs w:val="20"/>
        </w:rPr>
        <w:t>euf premiers mois de l’année 2013</w:t>
      </w:r>
      <w:r w:rsidRPr="009341EB">
        <w:rPr>
          <w:rFonts w:eastAsia="Times New Roman"/>
          <w:color w:val="auto"/>
          <w:sz w:val="20"/>
          <w:szCs w:val="20"/>
        </w:rPr>
        <w:t xml:space="preserve"> du fait d</w:t>
      </w:r>
      <w:r w:rsidR="003760A8" w:rsidRPr="009341EB">
        <w:rPr>
          <w:rFonts w:eastAsia="Times New Roman"/>
          <w:color w:val="auto"/>
          <w:sz w:val="20"/>
          <w:szCs w:val="20"/>
        </w:rPr>
        <w:t>’une moindre contribution de l’i</w:t>
      </w:r>
      <w:r w:rsidRPr="009341EB">
        <w:rPr>
          <w:rFonts w:eastAsia="Times New Roman"/>
          <w:color w:val="auto"/>
          <w:sz w:val="20"/>
          <w:szCs w:val="20"/>
        </w:rPr>
        <w:t>mmobilier d’entreprise. Pour rappel, celui-ci avait bénéficié sur les neuf premiers mois de l’année 2013 de commandes élevées, rendant défavorable la base de comparaison.</w:t>
      </w:r>
      <w:r w:rsidR="003760A8" w:rsidRPr="009341EB">
        <w:rPr>
          <w:rFonts w:eastAsia="Times New Roman"/>
          <w:color w:val="auto"/>
          <w:sz w:val="20"/>
          <w:szCs w:val="20"/>
        </w:rPr>
        <w:t xml:space="preserve"> L’immobilier résidentiel résiste dans un marché français en forte baisse.</w:t>
      </w:r>
    </w:p>
    <w:p w:rsidR="00DE4880" w:rsidRDefault="00DE4880" w:rsidP="009341EB">
      <w:pPr>
        <w:pStyle w:val="Default"/>
        <w:shd w:val="clear" w:color="auto" w:fill="FFFFFF" w:themeFill="background1"/>
        <w:jc w:val="both"/>
        <w:rPr>
          <w:rFonts w:eastAsia="Times New Roman"/>
          <w:color w:val="auto"/>
          <w:sz w:val="20"/>
          <w:szCs w:val="20"/>
        </w:rPr>
      </w:pPr>
    </w:p>
    <w:p w:rsidR="00015C3D" w:rsidRPr="00AA75D8" w:rsidRDefault="00015C3D" w:rsidP="009341EB">
      <w:pPr>
        <w:pStyle w:val="Default"/>
        <w:shd w:val="clear" w:color="auto" w:fill="FFFFFF" w:themeFill="background1"/>
        <w:jc w:val="both"/>
        <w:rPr>
          <w:rFonts w:eastAsia="Times New Roman"/>
          <w:color w:val="auto"/>
          <w:sz w:val="20"/>
          <w:szCs w:val="20"/>
        </w:rPr>
      </w:pPr>
      <w:r w:rsidRPr="009341EB">
        <w:rPr>
          <w:rFonts w:eastAsia="Times New Roman"/>
          <w:color w:val="auto"/>
          <w:sz w:val="20"/>
          <w:szCs w:val="20"/>
        </w:rPr>
        <w:t xml:space="preserve">Le chiffre </w:t>
      </w:r>
      <w:r w:rsidRPr="00292DCD">
        <w:rPr>
          <w:rFonts w:eastAsia="Times New Roman"/>
          <w:color w:val="auto"/>
          <w:sz w:val="20"/>
          <w:szCs w:val="20"/>
        </w:rPr>
        <w:t>d’affaires</w:t>
      </w:r>
      <w:r w:rsidR="00292DCD">
        <w:rPr>
          <w:rFonts w:eastAsia="Times New Roman"/>
          <w:color w:val="auto"/>
          <w:sz w:val="20"/>
          <w:szCs w:val="20"/>
          <w:vertAlign w:val="superscript"/>
        </w:rPr>
        <w:t xml:space="preserve"> </w:t>
      </w:r>
      <w:r w:rsidRPr="009341EB">
        <w:rPr>
          <w:rFonts w:eastAsia="Times New Roman"/>
          <w:color w:val="auto"/>
          <w:sz w:val="20"/>
          <w:szCs w:val="20"/>
        </w:rPr>
        <w:t>total des neuf premiers mois de l’année 20</w:t>
      </w:r>
      <w:r w:rsidR="00676713" w:rsidRPr="009341EB">
        <w:rPr>
          <w:rFonts w:eastAsia="Times New Roman"/>
          <w:color w:val="auto"/>
          <w:sz w:val="20"/>
          <w:szCs w:val="20"/>
        </w:rPr>
        <w:t>14 se décompose comme suit : l’i</w:t>
      </w:r>
      <w:r w:rsidRPr="009341EB">
        <w:rPr>
          <w:rFonts w:eastAsia="Times New Roman"/>
          <w:color w:val="auto"/>
          <w:sz w:val="20"/>
          <w:szCs w:val="20"/>
        </w:rPr>
        <w:t>mmobilier résidentiel représente 68</w:t>
      </w:r>
      <w:r w:rsidR="00F22DFA">
        <w:rPr>
          <w:rFonts w:eastAsia="Times New Roman"/>
          <w:color w:val="auto"/>
          <w:sz w:val="20"/>
          <w:szCs w:val="20"/>
        </w:rPr>
        <w:t> </w:t>
      </w:r>
      <w:r w:rsidRPr="009341EB">
        <w:rPr>
          <w:rFonts w:eastAsia="Times New Roman"/>
          <w:color w:val="auto"/>
          <w:sz w:val="20"/>
          <w:szCs w:val="20"/>
        </w:rPr>
        <w:t>%</w:t>
      </w:r>
      <w:r w:rsidR="00676713" w:rsidRPr="009341EB">
        <w:rPr>
          <w:rFonts w:eastAsia="Times New Roman"/>
          <w:color w:val="auto"/>
          <w:sz w:val="20"/>
          <w:szCs w:val="20"/>
        </w:rPr>
        <w:t>, les services,</w:t>
      </w:r>
      <w:r w:rsidRPr="009341EB">
        <w:rPr>
          <w:rFonts w:eastAsia="Times New Roman"/>
          <w:color w:val="auto"/>
          <w:sz w:val="20"/>
          <w:szCs w:val="20"/>
        </w:rPr>
        <w:t xml:space="preserve"> réseaux et autres représentent 23</w:t>
      </w:r>
      <w:r w:rsidR="00B03978" w:rsidRPr="009341EB">
        <w:rPr>
          <w:rFonts w:eastAsia="Times New Roman"/>
          <w:color w:val="auto"/>
          <w:sz w:val="20"/>
          <w:szCs w:val="20"/>
        </w:rPr>
        <w:t> </w:t>
      </w:r>
      <w:r w:rsidRPr="009341EB">
        <w:rPr>
          <w:rFonts w:eastAsia="Times New Roman"/>
          <w:color w:val="auto"/>
          <w:sz w:val="20"/>
          <w:szCs w:val="20"/>
        </w:rPr>
        <w:t xml:space="preserve">% et </w:t>
      </w:r>
      <w:r w:rsidR="00B03978" w:rsidRPr="009341EB">
        <w:rPr>
          <w:rFonts w:eastAsia="Times New Roman"/>
          <w:color w:val="auto"/>
          <w:sz w:val="20"/>
          <w:szCs w:val="20"/>
        </w:rPr>
        <w:t>l’</w:t>
      </w:r>
      <w:r w:rsidR="00144364">
        <w:rPr>
          <w:rFonts w:eastAsia="Times New Roman"/>
          <w:color w:val="auto"/>
          <w:sz w:val="20"/>
          <w:szCs w:val="20"/>
        </w:rPr>
        <w:t>i</w:t>
      </w:r>
      <w:r w:rsidRPr="009341EB">
        <w:rPr>
          <w:rFonts w:eastAsia="Times New Roman"/>
          <w:color w:val="auto"/>
          <w:sz w:val="20"/>
          <w:szCs w:val="20"/>
        </w:rPr>
        <w:t>mmobilier d’entreprise, 9</w:t>
      </w:r>
      <w:r w:rsidR="00F22DFA">
        <w:rPr>
          <w:rFonts w:eastAsia="Times New Roman"/>
          <w:color w:val="auto"/>
          <w:sz w:val="20"/>
          <w:szCs w:val="20"/>
        </w:rPr>
        <w:t> </w:t>
      </w:r>
      <w:r w:rsidRPr="009341EB">
        <w:rPr>
          <w:rFonts w:eastAsia="Times New Roman"/>
          <w:color w:val="auto"/>
          <w:sz w:val="20"/>
          <w:szCs w:val="20"/>
        </w:rPr>
        <w:t>%.</w:t>
      </w:r>
    </w:p>
    <w:p w:rsidR="00585FB8" w:rsidRPr="006D6364" w:rsidRDefault="00585FB8" w:rsidP="009341EB">
      <w:pPr>
        <w:shd w:val="clear" w:color="auto" w:fill="FFFFFF" w:themeFill="background1"/>
        <w:spacing w:after="200" w:line="276" w:lineRule="auto"/>
        <w:jc w:val="left"/>
        <w:rPr>
          <w:rFonts w:eastAsia="Times New Roman" w:cs="Verdana"/>
          <w:color w:val="FF0000"/>
          <w:sz w:val="20"/>
          <w:szCs w:val="20"/>
        </w:rPr>
      </w:pPr>
      <w:r w:rsidRPr="006D6364">
        <w:rPr>
          <w:rFonts w:eastAsia="Times New Roman"/>
          <w:color w:val="FF0000"/>
          <w:sz w:val="20"/>
          <w:szCs w:val="20"/>
        </w:rPr>
        <w:br w:type="page"/>
      </w:r>
    </w:p>
    <w:p w:rsidR="00585FB8" w:rsidRDefault="00585FB8" w:rsidP="00360FC1">
      <w:pPr>
        <w:pStyle w:val="Default"/>
        <w:jc w:val="both"/>
        <w:rPr>
          <w:rFonts w:eastAsia="Times New Roman"/>
          <w:sz w:val="20"/>
          <w:szCs w:val="20"/>
        </w:rPr>
      </w:pPr>
    </w:p>
    <w:p w:rsidR="00585FB8" w:rsidRDefault="00585FB8" w:rsidP="00360FC1">
      <w:pPr>
        <w:pStyle w:val="Default"/>
        <w:jc w:val="both"/>
        <w:rPr>
          <w:rFonts w:eastAsia="Times New Roman"/>
          <w:sz w:val="20"/>
          <w:szCs w:val="20"/>
        </w:rPr>
      </w:pPr>
    </w:p>
    <w:p w:rsidR="00585FB8" w:rsidRDefault="00585FB8" w:rsidP="00360FC1">
      <w:pPr>
        <w:pStyle w:val="Default"/>
        <w:jc w:val="both"/>
        <w:rPr>
          <w:rFonts w:eastAsia="Times New Roman"/>
          <w:sz w:val="20"/>
          <w:szCs w:val="20"/>
        </w:rPr>
      </w:pPr>
    </w:p>
    <w:p w:rsidR="00585FB8" w:rsidRDefault="00585FB8" w:rsidP="00360FC1">
      <w:pPr>
        <w:pStyle w:val="Default"/>
        <w:jc w:val="both"/>
        <w:rPr>
          <w:rFonts w:eastAsia="Times New Roman"/>
          <w:sz w:val="20"/>
          <w:szCs w:val="20"/>
        </w:rPr>
      </w:pPr>
    </w:p>
    <w:p w:rsidR="00BF3679" w:rsidRDefault="00BF3679" w:rsidP="00F22DFA">
      <w:pPr>
        <w:pStyle w:val="Default"/>
      </w:pPr>
    </w:p>
    <w:p w:rsidR="00015A86" w:rsidRDefault="003A2FA1" w:rsidP="00F22DFA">
      <w:pPr>
        <w:pStyle w:val="Default"/>
        <w:pBdr>
          <w:top w:val="single" w:sz="4" w:space="1" w:color="auto"/>
          <w:left w:val="single" w:sz="4" w:space="4" w:color="auto"/>
          <w:bottom w:val="single" w:sz="4" w:space="1" w:color="auto"/>
          <w:right w:val="single" w:sz="4" w:space="4" w:color="auto"/>
        </w:pBdr>
        <w:jc w:val="both"/>
        <w:rPr>
          <w:rFonts w:cstheme="minorBidi"/>
          <w:b/>
          <w:bCs/>
          <w:color w:val="auto"/>
          <w:sz w:val="18"/>
          <w:szCs w:val="18"/>
        </w:rPr>
      </w:pPr>
      <w:r>
        <w:rPr>
          <w:rFonts w:cstheme="minorBidi"/>
          <w:b/>
          <w:bCs/>
          <w:color w:val="auto"/>
          <w:sz w:val="18"/>
          <w:szCs w:val="18"/>
        </w:rPr>
        <w:br/>
      </w:r>
      <w:r w:rsidR="00E53335">
        <w:rPr>
          <w:rFonts w:cstheme="minorBidi"/>
          <w:b/>
          <w:bCs/>
          <w:color w:val="auto"/>
          <w:sz w:val="18"/>
          <w:szCs w:val="18"/>
        </w:rPr>
        <w:t xml:space="preserve">Précisions méthodologiques </w:t>
      </w:r>
    </w:p>
    <w:p w:rsidR="00F22DFA" w:rsidRPr="00950322" w:rsidRDefault="00F22DFA" w:rsidP="00F22DFA">
      <w:pPr>
        <w:pBdr>
          <w:top w:val="single" w:sz="4" w:space="1" w:color="auto"/>
          <w:left w:val="single" w:sz="4" w:space="4" w:color="auto"/>
          <w:bottom w:val="single" w:sz="4" w:space="1" w:color="auto"/>
          <w:right w:val="single" w:sz="4" w:space="4" w:color="auto"/>
        </w:pBdr>
        <w:autoSpaceDE w:val="0"/>
        <w:autoSpaceDN w:val="0"/>
        <w:adjustRightInd w:val="0"/>
        <w:rPr>
          <w:rFonts w:cs="Verdana,Italic"/>
          <w:i/>
          <w:iCs/>
          <w:sz w:val="18"/>
          <w:szCs w:val="18"/>
        </w:rPr>
      </w:pPr>
      <w:r w:rsidRPr="00950322">
        <w:rPr>
          <w:rFonts w:cs="Verdana,Italic"/>
          <w:i/>
          <w:iCs/>
          <w:sz w:val="18"/>
          <w:szCs w:val="18"/>
        </w:rPr>
        <w:t>La participation du Groupe BPCE dans BPCE Assurances (60 %) a été transférée à Natixis Assurances le 13 mars 2014 avec effet rétroactif au 1</w:t>
      </w:r>
      <w:r w:rsidRPr="00950322">
        <w:rPr>
          <w:rFonts w:cs="Verdana,Italic"/>
          <w:i/>
          <w:iCs/>
          <w:sz w:val="18"/>
          <w:szCs w:val="18"/>
          <w:vertAlign w:val="superscript"/>
        </w:rPr>
        <w:t>er</w:t>
      </w:r>
      <w:r w:rsidRPr="00950322">
        <w:rPr>
          <w:rFonts w:cs="Verdana,Italic"/>
          <w:i/>
          <w:iCs/>
          <w:sz w:val="18"/>
          <w:szCs w:val="18"/>
        </w:rPr>
        <w:t xml:space="preserve"> janvier 2014. Ce transfert est réalisé en conservant les accords capitalistiques et de coopération existants avec Macif et MAIF. La contribution de BPCE Assurances, présentée auparavant au sein de la Banque commerciale et Assurance, est désormais affectée au métier Épargne de Natixis.</w:t>
      </w:r>
    </w:p>
    <w:p w:rsidR="00F22DFA" w:rsidRPr="00950322" w:rsidRDefault="00F22DFA" w:rsidP="00F22DFA">
      <w:pPr>
        <w:pBdr>
          <w:top w:val="single" w:sz="4" w:space="1" w:color="auto"/>
          <w:left w:val="single" w:sz="4" w:space="4" w:color="auto"/>
          <w:bottom w:val="single" w:sz="4" w:space="1" w:color="auto"/>
          <w:right w:val="single" w:sz="4" w:space="4" w:color="auto"/>
        </w:pBdr>
        <w:autoSpaceDE w:val="0"/>
        <w:autoSpaceDN w:val="0"/>
        <w:adjustRightInd w:val="0"/>
        <w:rPr>
          <w:rFonts w:cs="Verdana,Italic"/>
          <w:i/>
          <w:iCs/>
          <w:sz w:val="18"/>
          <w:szCs w:val="18"/>
        </w:rPr>
      </w:pPr>
      <w:r w:rsidRPr="00950322">
        <w:rPr>
          <w:rFonts w:cs="Verdana,Italic"/>
          <w:i/>
          <w:iCs/>
          <w:sz w:val="18"/>
          <w:szCs w:val="18"/>
        </w:rPr>
        <w:t>L’information sectorielle a été modifiée à compter du T2-14. Le pôle Banque commerciale et Assurance comprend désormais 3 sous-pôles : les Banques Populaires, les Caisses d’Epargne et le sous-pôle Assurance et Autres réseaux, qui regroupe essentiellement les filiales Banque Palatine, BPCE IOM, Crédit Foncier et la participation minoritaire dans CNP Assurances. Par ailleurs, le sous-pôle Activités en gestion extinctive a été regroupé avec le pôle Hors métiers.</w:t>
      </w:r>
    </w:p>
    <w:p w:rsidR="00F22DFA" w:rsidRPr="00950322" w:rsidRDefault="00F22DFA" w:rsidP="00F22DFA">
      <w:pPr>
        <w:pBdr>
          <w:top w:val="single" w:sz="4" w:space="1" w:color="auto"/>
          <w:left w:val="single" w:sz="4" w:space="4" w:color="auto"/>
          <w:bottom w:val="single" w:sz="4" w:space="1" w:color="auto"/>
          <w:right w:val="single" w:sz="4" w:space="4" w:color="auto"/>
        </w:pBdr>
        <w:autoSpaceDE w:val="0"/>
        <w:autoSpaceDN w:val="0"/>
        <w:adjustRightInd w:val="0"/>
        <w:rPr>
          <w:rFonts w:cs="Verdana,Italic"/>
          <w:i/>
          <w:iCs/>
          <w:sz w:val="18"/>
          <w:szCs w:val="18"/>
        </w:rPr>
      </w:pPr>
      <w:r w:rsidRPr="00950322">
        <w:rPr>
          <w:rFonts w:cs="Verdana,Italic"/>
          <w:i/>
          <w:iCs/>
          <w:sz w:val="18"/>
          <w:szCs w:val="18"/>
        </w:rPr>
        <w:t>L’information sectorielle du Groupe BPCE a été retraitée en conséquence sur les périodes passées.</w:t>
      </w:r>
    </w:p>
    <w:p w:rsidR="00F22DFA" w:rsidRPr="00950322" w:rsidRDefault="00F22DFA" w:rsidP="00F22DFA">
      <w:pPr>
        <w:pBdr>
          <w:top w:val="single" w:sz="4" w:space="1" w:color="auto"/>
          <w:left w:val="single" w:sz="4" w:space="4" w:color="auto"/>
          <w:bottom w:val="single" w:sz="4" w:space="1" w:color="auto"/>
          <w:right w:val="single" w:sz="4" w:space="4" w:color="auto"/>
        </w:pBdr>
        <w:autoSpaceDE w:val="0"/>
        <w:autoSpaceDN w:val="0"/>
        <w:adjustRightInd w:val="0"/>
        <w:rPr>
          <w:rFonts w:cs="Verdana,Italic"/>
          <w:i/>
          <w:iCs/>
          <w:sz w:val="18"/>
          <w:szCs w:val="18"/>
        </w:rPr>
      </w:pPr>
      <w:r w:rsidRPr="00950322">
        <w:rPr>
          <w:rFonts w:cs="Verdana,Italic"/>
          <w:i/>
          <w:iCs/>
          <w:sz w:val="18"/>
          <w:szCs w:val="18"/>
        </w:rPr>
        <w:t>Les résultats du T3-13 et du 9M-13 sont présentés pro forma de l’opération de rachat suivie de leur annulation par les Banques Populaires et les Caisses d’Epargne des certificats coopératifs d’investissement (CCI) détenus par Natixis réalisée le 6 août 2013.</w:t>
      </w:r>
    </w:p>
    <w:p w:rsidR="00F22DFA" w:rsidRPr="00950322" w:rsidRDefault="00F22DFA" w:rsidP="00F22DFA">
      <w:pPr>
        <w:pStyle w:val="Default"/>
        <w:pBdr>
          <w:top w:val="single" w:sz="4" w:space="1" w:color="auto"/>
          <w:left w:val="single" w:sz="4" w:space="4" w:color="auto"/>
          <w:bottom w:val="single" w:sz="4" w:space="1" w:color="auto"/>
          <w:right w:val="single" w:sz="4" w:space="4" w:color="auto"/>
        </w:pBdr>
        <w:jc w:val="both"/>
        <w:rPr>
          <w:rFonts w:cstheme="minorBidi"/>
          <w:color w:val="auto"/>
          <w:sz w:val="18"/>
          <w:szCs w:val="18"/>
        </w:rPr>
      </w:pPr>
      <w:r w:rsidRPr="00950322">
        <w:rPr>
          <w:rFonts w:cs="Verdana,Italic"/>
          <w:i/>
          <w:iCs/>
          <w:sz w:val="18"/>
          <w:szCs w:val="18"/>
        </w:rPr>
        <w:t>L’allocation de fonds propres normatifs aux métiers du Groupe BPCE est réalisée sur la base de 9 % des risques pondérés moyens en Bâle 3.</w:t>
      </w:r>
    </w:p>
    <w:p w:rsidR="00F22DFA" w:rsidRDefault="00F22DFA" w:rsidP="00F22DFA">
      <w:pPr>
        <w:pStyle w:val="Default"/>
        <w:pBdr>
          <w:top w:val="single" w:sz="4" w:space="1" w:color="auto"/>
          <w:left w:val="single" w:sz="4" w:space="4" w:color="auto"/>
          <w:bottom w:val="single" w:sz="4" w:space="1" w:color="auto"/>
          <w:right w:val="single" w:sz="4" w:space="4" w:color="auto"/>
        </w:pBdr>
        <w:jc w:val="both"/>
        <w:rPr>
          <w:sz w:val="18"/>
          <w:szCs w:val="18"/>
        </w:rPr>
      </w:pPr>
    </w:p>
    <w:p w:rsidR="00585FB8" w:rsidRDefault="00585FB8" w:rsidP="00F22DFA">
      <w:pPr>
        <w:rPr>
          <w:sz w:val="18"/>
          <w:szCs w:val="18"/>
        </w:rPr>
      </w:pPr>
    </w:p>
    <w:p w:rsidR="00585FB8" w:rsidRDefault="00585FB8" w:rsidP="00F22DFA">
      <w:pPr>
        <w:rPr>
          <w:sz w:val="18"/>
          <w:szCs w:val="18"/>
        </w:rPr>
      </w:pPr>
    </w:p>
    <w:p w:rsidR="00585FB8" w:rsidRDefault="00585FB8" w:rsidP="00F22DFA">
      <w:pPr>
        <w:rPr>
          <w:sz w:val="18"/>
          <w:szCs w:val="18"/>
        </w:rPr>
      </w:pPr>
    </w:p>
    <w:p w:rsidR="00585FB8" w:rsidRDefault="00585FB8" w:rsidP="007108CA">
      <w:pPr>
        <w:rPr>
          <w:sz w:val="18"/>
          <w:szCs w:val="18"/>
        </w:rPr>
      </w:pPr>
    </w:p>
    <w:p w:rsidR="00585FB8" w:rsidRDefault="00585FB8" w:rsidP="007108CA">
      <w:pPr>
        <w:rPr>
          <w:sz w:val="18"/>
          <w:szCs w:val="18"/>
        </w:rPr>
      </w:pPr>
    </w:p>
    <w:p w:rsidR="00585FB8" w:rsidRDefault="00585FB8" w:rsidP="007108CA">
      <w:pPr>
        <w:rPr>
          <w:sz w:val="18"/>
          <w:szCs w:val="18"/>
        </w:rPr>
      </w:pPr>
    </w:p>
    <w:p w:rsidR="00585FB8" w:rsidRDefault="00585FB8" w:rsidP="007108CA">
      <w:pPr>
        <w:rPr>
          <w:sz w:val="18"/>
          <w:szCs w:val="18"/>
        </w:rPr>
      </w:pPr>
    </w:p>
    <w:p w:rsidR="00585FB8" w:rsidRDefault="00585FB8" w:rsidP="007108CA">
      <w:pPr>
        <w:rPr>
          <w:sz w:val="18"/>
          <w:szCs w:val="18"/>
        </w:rPr>
      </w:pPr>
    </w:p>
    <w:p w:rsidR="00585FB8" w:rsidRDefault="00585FB8" w:rsidP="007108CA">
      <w:pPr>
        <w:rPr>
          <w:sz w:val="18"/>
          <w:szCs w:val="18"/>
        </w:rPr>
      </w:pPr>
    </w:p>
    <w:p w:rsidR="00585FB8" w:rsidRDefault="00585FB8" w:rsidP="007108CA">
      <w:pPr>
        <w:rPr>
          <w:sz w:val="18"/>
          <w:szCs w:val="18"/>
        </w:rPr>
      </w:pPr>
    </w:p>
    <w:p w:rsidR="00585FB8" w:rsidRDefault="00585FB8" w:rsidP="007108CA">
      <w:pPr>
        <w:rPr>
          <w:sz w:val="18"/>
          <w:szCs w:val="18"/>
        </w:rPr>
      </w:pPr>
    </w:p>
    <w:p w:rsidR="00585FB8" w:rsidRDefault="00585FB8" w:rsidP="007108CA">
      <w:pPr>
        <w:rPr>
          <w:sz w:val="18"/>
          <w:szCs w:val="18"/>
        </w:rPr>
      </w:pPr>
    </w:p>
    <w:p w:rsidR="00585FB8" w:rsidRDefault="00585FB8" w:rsidP="007108CA">
      <w:pPr>
        <w:rPr>
          <w:sz w:val="18"/>
          <w:szCs w:val="18"/>
        </w:rPr>
      </w:pPr>
    </w:p>
    <w:p w:rsidR="00585FB8" w:rsidRDefault="00585FB8" w:rsidP="007108CA">
      <w:pPr>
        <w:rPr>
          <w:sz w:val="18"/>
          <w:szCs w:val="18"/>
        </w:rPr>
      </w:pPr>
    </w:p>
    <w:p w:rsidR="00585FB8" w:rsidRDefault="00585FB8" w:rsidP="007108CA">
      <w:pPr>
        <w:rPr>
          <w:sz w:val="18"/>
          <w:szCs w:val="18"/>
        </w:rPr>
      </w:pPr>
    </w:p>
    <w:p w:rsidR="00015A86" w:rsidRPr="00FD1221" w:rsidRDefault="00015A86" w:rsidP="007108CA">
      <w:pPr>
        <w:rPr>
          <w:sz w:val="18"/>
          <w:szCs w:val="18"/>
        </w:rPr>
      </w:pPr>
    </w:p>
    <w:p w:rsidR="007108CA" w:rsidRPr="009A68DF" w:rsidRDefault="007108CA" w:rsidP="007108CA">
      <w:pPr>
        <w:pStyle w:val="7-TitreAPROPOS"/>
      </w:pPr>
      <w:r w:rsidRPr="009A68DF">
        <w:t>À propos du Groupe BPCE</w:t>
      </w:r>
    </w:p>
    <w:p w:rsidR="007108CA" w:rsidRPr="007A618A" w:rsidRDefault="007108CA" w:rsidP="007108CA">
      <w:pPr>
        <w:pStyle w:val="7-APROPOS"/>
      </w:pPr>
      <w:r w:rsidRPr="009A68DF">
        <w:t>Le Groupe BPCE, deuxième groupe bancaire en France, s’appuie sur deux réseaux de banque</w:t>
      </w:r>
      <w:r w:rsidR="00B71A6A" w:rsidRPr="009A68DF">
        <w:t>s</w:t>
      </w:r>
      <w:r w:rsidRPr="009A68DF">
        <w:t xml:space="preserve"> commerciale</w:t>
      </w:r>
      <w:r w:rsidR="00B71A6A" w:rsidRPr="009A68DF">
        <w:t>s</w:t>
      </w:r>
      <w:r w:rsidRPr="009A68DF">
        <w:t xml:space="preserve"> autonomes et complémentaires : celui des 19 Banques Populaires et celui des 17 Caisses d'Epargne. Dans le domaine du financement de l’immobilier, il s’appuie également sur le Crédit Foncier. Il est un acteur majeur de la </w:t>
      </w:r>
      <w:r w:rsidR="00B71A6A" w:rsidRPr="009A68DF">
        <w:t xml:space="preserve">Banque </w:t>
      </w:r>
      <w:r w:rsidRPr="009A68DF">
        <w:t xml:space="preserve">de </w:t>
      </w:r>
      <w:r w:rsidR="00B71A6A" w:rsidRPr="009A68DF">
        <w:t>Grande C</w:t>
      </w:r>
      <w:r w:rsidRPr="009A68DF">
        <w:t>lientèle, de la gestion d’actifs et des services financiers avec Natixis. Le Groupe BPCE compte plus de 36 millions de clients et bénéficie d’une large présence en France avec 8 000 agences, 11</w:t>
      </w:r>
      <w:r w:rsidR="003D0388" w:rsidRPr="009A68DF">
        <w:t>5</w:t>
      </w:r>
      <w:r w:rsidRPr="009A68DF">
        <w:t xml:space="preserve"> 000 collaborateurs et plus de 8,</w:t>
      </w:r>
      <w:r w:rsidR="00B219AD" w:rsidRPr="009A68DF">
        <w:t>8</w:t>
      </w:r>
      <w:r w:rsidRPr="009A68DF">
        <w:t xml:space="preserve"> millions de sociétaires.</w:t>
      </w:r>
    </w:p>
    <w:p w:rsidR="007108CA" w:rsidRDefault="007108CA" w:rsidP="007108CA">
      <w:pPr>
        <w:pStyle w:val="4-TEXTECOURANTcommuniqu"/>
      </w:pPr>
    </w:p>
    <w:p w:rsidR="00585FB8" w:rsidRPr="00FD1221" w:rsidRDefault="00585FB8" w:rsidP="007108CA">
      <w:pPr>
        <w:pStyle w:val="4-TEXTECOURANTcommuniqu"/>
      </w:pPr>
    </w:p>
    <w:p w:rsidR="005C21D2" w:rsidRPr="00FD1221" w:rsidRDefault="005C21D2" w:rsidP="007108CA">
      <w:pPr>
        <w:pStyle w:val="4-TEXTECOURANTcommuniqu"/>
      </w:pPr>
    </w:p>
    <w:tbl>
      <w:tblPr>
        <w:tblW w:w="9638" w:type="dxa"/>
        <w:tblBorders>
          <w:top w:val="single" w:sz="4" w:space="0" w:color="581D74"/>
        </w:tblBorders>
        <w:tblCellMar>
          <w:top w:w="85" w:type="dxa"/>
          <w:left w:w="0" w:type="dxa"/>
          <w:right w:w="0" w:type="dxa"/>
        </w:tblCellMar>
        <w:tblLook w:val="01E0" w:firstRow="1" w:lastRow="1" w:firstColumn="1" w:lastColumn="1" w:noHBand="0" w:noVBand="0"/>
      </w:tblPr>
      <w:tblGrid>
        <w:gridCol w:w="4819"/>
        <w:gridCol w:w="4819"/>
      </w:tblGrid>
      <w:tr w:rsidR="005C21D2" w:rsidRPr="006F43DB">
        <w:trPr>
          <w:trHeight w:val="742"/>
        </w:trPr>
        <w:tc>
          <w:tcPr>
            <w:tcW w:w="4819" w:type="dxa"/>
            <w:tcBorders>
              <w:top w:val="single" w:sz="4" w:space="0" w:color="581D74"/>
            </w:tcBorders>
          </w:tcPr>
          <w:p w:rsidR="005C21D2" w:rsidRPr="00FD1221" w:rsidRDefault="005C21D2" w:rsidP="003207FA">
            <w:pPr>
              <w:tabs>
                <w:tab w:val="left" w:pos="426"/>
              </w:tabs>
              <w:rPr>
                <w:b/>
                <w:bCs/>
                <w:color w:val="581D74"/>
                <w:sz w:val="16"/>
                <w:szCs w:val="16"/>
              </w:rPr>
            </w:pPr>
            <w:r w:rsidRPr="00FD1221">
              <w:rPr>
                <w:b/>
                <w:bCs/>
                <w:color w:val="581D74"/>
                <w:sz w:val="16"/>
                <w:szCs w:val="16"/>
              </w:rPr>
              <w:t xml:space="preserve">Contacts presse </w:t>
            </w:r>
            <w:r w:rsidR="00B219AD" w:rsidRPr="00FD1221">
              <w:rPr>
                <w:b/>
                <w:bCs/>
                <w:color w:val="581D74"/>
                <w:sz w:val="16"/>
                <w:szCs w:val="16"/>
              </w:rPr>
              <w:t xml:space="preserve">Groupe </w:t>
            </w:r>
            <w:r w:rsidRPr="00FD1221">
              <w:rPr>
                <w:b/>
                <w:bCs/>
                <w:color w:val="581D74"/>
                <w:sz w:val="16"/>
                <w:szCs w:val="16"/>
              </w:rPr>
              <w:t>BPCE</w:t>
            </w:r>
          </w:p>
          <w:p w:rsidR="005C21D2" w:rsidRPr="00FD1221" w:rsidRDefault="005C21D2" w:rsidP="003A2FA1">
            <w:pPr>
              <w:tabs>
                <w:tab w:val="left" w:pos="426"/>
              </w:tabs>
              <w:spacing w:before="80"/>
              <w:rPr>
                <w:sz w:val="16"/>
                <w:szCs w:val="16"/>
              </w:rPr>
            </w:pPr>
            <w:r w:rsidRPr="00FD1221">
              <w:rPr>
                <w:sz w:val="16"/>
                <w:szCs w:val="16"/>
              </w:rPr>
              <w:t>Sabine Baudin : 01 58 40 47 62</w:t>
            </w:r>
          </w:p>
          <w:p w:rsidR="005C21D2" w:rsidRPr="005C7783" w:rsidRDefault="005C7783" w:rsidP="005C7783">
            <w:pPr>
              <w:tabs>
                <w:tab w:val="left" w:pos="426"/>
              </w:tabs>
              <w:rPr>
                <w:sz w:val="16"/>
                <w:szCs w:val="16"/>
              </w:rPr>
            </w:pPr>
            <w:r w:rsidRPr="005C7783">
              <w:rPr>
                <w:sz w:val="16"/>
                <w:szCs w:val="16"/>
              </w:rPr>
              <w:t xml:space="preserve">Anne-Laure </w:t>
            </w:r>
            <w:proofErr w:type="spellStart"/>
            <w:r w:rsidRPr="005C7783">
              <w:rPr>
                <w:sz w:val="16"/>
                <w:szCs w:val="16"/>
              </w:rPr>
              <w:t>Declaye</w:t>
            </w:r>
            <w:proofErr w:type="spellEnd"/>
            <w:r w:rsidR="00D10D30">
              <w:rPr>
                <w:sz w:val="16"/>
                <w:szCs w:val="16"/>
              </w:rPr>
              <w:t> : 01 58 40 61 79</w:t>
            </w:r>
          </w:p>
          <w:p w:rsidR="005C7783" w:rsidRPr="005C7783" w:rsidRDefault="005C7783" w:rsidP="005C7783">
            <w:pPr>
              <w:tabs>
                <w:tab w:val="left" w:pos="426"/>
              </w:tabs>
              <w:rPr>
                <w:sz w:val="16"/>
                <w:szCs w:val="16"/>
              </w:rPr>
            </w:pPr>
            <w:r w:rsidRPr="005C7783">
              <w:rPr>
                <w:sz w:val="16"/>
                <w:szCs w:val="16"/>
              </w:rPr>
              <w:t xml:space="preserve">Marie de </w:t>
            </w:r>
            <w:proofErr w:type="spellStart"/>
            <w:r w:rsidRPr="005C7783">
              <w:rPr>
                <w:sz w:val="16"/>
                <w:szCs w:val="16"/>
              </w:rPr>
              <w:t>Clercq</w:t>
            </w:r>
            <w:proofErr w:type="spellEnd"/>
            <w:r w:rsidR="00D10D30">
              <w:rPr>
                <w:sz w:val="16"/>
                <w:szCs w:val="16"/>
              </w:rPr>
              <w:t> : 01 58 40 59 26</w:t>
            </w:r>
          </w:p>
          <w:p w:rsidR="005C21D2" w:rsidRDefault="005C21D2" w:rsidP="003A2FA1">
            <w:pPr>
              <w:tabs>
                <w:tab w:val="left" w:pos="426"/>
              </w:tabs>
              <w:spacing w:before="40"/>
              <w:rPr>
                <w:rStyle w:val="Lienhypertexte"/>
              </w:rPr>
            </w:pPr>
            <w:r w:rsidRPr="00FD1221">
              <w:rPr>
                <w:color w:val="581D74"/>
                <w:sz w:val="16"/>
                <w:szCs w:val="16"/>
              </w:rPr>
              <w:t xml:space="preserve">mail : </w:t>
            </w:r>
            <w:hyperlink r:id="rId10" w:history="1">
              <w:r w:rsidRPr="00FD1221">
                <w:rPr>
                  <w:rStyle w:val="Lienhypertexte"/>
                  <w:color w:val="581D74"/>
                  <w:sz w:val="16"/>
                  <w:szCs w:val="16"/>
                </w:rPr>
                <w:t>presse@bpce.fr</w:t>
              </w:r>
            </w:hyperlink>
          </w:p>
          <w:p w:rsidR="003A2FA1" w:rsidRPr="00FD1221" w:rsidRDefault="003A2FA1" w:rsidP="003207FA">
            <w:pPr>
              <w:tabs>
                <w:tab w:val="left" w:pos="426"/>
              </w:tabs>
              <w:rPr>
                <w:color w:val="581D74"/>
                <w:sz w:val="16"/>
                <w:szCs w:val="16"/>
              </w:rPr>
            </w:pPr>
          </w:p>
        </w:tc>
        <w:tc>
          <w:tcPr>
            <w:tcW w:w="4819" w:type="dxa"/>
            <w:tcBorders>
              <w:top w:val="single" w:sz="4" w:space="0" w:color="581D74"/>
            </w:tcBorders>
          </w:tcPr>
          <w:p w:rsidR="005C21D2" w:rsidRPr="00FD1221" w:rsidRDefault="005C21D2" w:rsidP="003207FA">
            <w:pPr>
              <w:tabs>
                <w:tab w:val="left" w:pos="426"/>
              </w:tabs>
              <w:ind w:right="403"/>
              <w:rPr>
                <w:b/>
                <w:bCs/>
                <w:color w:val="581D74"/>
                <w:sz w:val="16"/>
                <w:szCs w:val="16"/>
              </w:rPr>
            </w:pPr>
            <w:r w:rsidRPr="00FD1221">
              <w:rPr>
                <w:b/>
                <w:bCs/>
                <w:color w:val="581D74"/>
                <w:sz w:val="16"/>
                <w:szCs w:val="16"/>
              </w:rPr>
              <w:t>Relations investisseurs BPCE</w:t>
            </w:r>
          </w:p>
          <w:p w:rsidR="005C21D2" w:rsidRPr="00FD1221" w:rsidRDefault="005C21D2" w:rsidP="003A2FA1">
            <w:pPr>
              <w:tabs>
                <w:tab w:val="left" w:pos="426"/>
              </w:tabs>
              <w:spacing w:before="80"/>
              <w:rPr>
                <w:sz w:val="16"/>
                <w:szCs w:val="16"/>
              </w:rPr>
            </w:pPr>
            <w:r w:rsidRPr="00FD1221">
              <w:rPr>
                <w:sz w:val="16"/>
                <w:szCs w:val="16"/>
              </w:rPr>
              <w:t>Roland Charbonnel : 01 58 40 69 30</w:t>
            </w:r>
          </w:p>
          <w:p w:rsidR="005C21D2" w:rsidRPr="00FD1221" w:rsidRDefault="005C21D2" w:rsidP="003207FA">
            <w:pPr>
              <w:tabs>
                <w:tab w:val="left" w:pos="426"/>
              </w:tabs>
              <w:ind w:right="401"/>
              <w:rPr>
                <w:sz w:val="16"/>
                <w:szCs w:val="16"/>
                <w:lang w:val="en-GB"/>
              </w:rPr>
            </w:pPr>
            <w:r w:rsidRPr="00FD1221">
              <w:rPr>
                <w:sz w:val="16"/>
                <w:szCs w:val="16"/>
                <w:lang w:val="en-GB"/>
              </w:rPr>
              <w:t xml:space="preserve">Evelyne </w:t>
            </w:r>
            <w:proofErr w:type="spellStart"/>
            <w:r w:rsidRPr="00FD1221">
              <w:rPr>
                <w:sz w:val="16"/>
                <w:szCs w:val="16"/>
                <w:lang w:val="en-GB"/>
              </w:rPr>
              <w:t>Etcheverry</w:t>
            </w:r>
            <w:proofErr w:type="spellEnd"/>
            <w:r w:rsidRPr="00FD1221">
              <w:rPr>
                <w:sz w:val="16"/>
                <w:szCs w:val="16"/>
                <w:lang w:val="en-GB"/>
              </w:rPr>
              <w:t xml:space="preserve"> : 01 58 40 57 46</w:t>
            </w:r>
          </w:p>
          <w:p w:rsidR="005C21D2" w:rsidRPr="00E02AF9" w:rsidRDefault="005C21D2" w:rsidP="003A2FA1">
            <w:pPr>
              <w:tabs>
                <w:tab w:val="left" w:pos="426"/>
              </w:tabs>
              <w:spacing w:before="40"/>
              <w:ind w:right="403"/>
              <w:rPr>
                <w:u w:val="single"/>
                <w:lang w:val="en-US"/>
              </w:rPr>
            </w:pPr>
            <w:r w:rsidRPr="00E02AF9">
              <w:rPr>
                <w:color w:val="581D74"/>
                <w:sz w:val="16"/>
                <w:szCs w:val="16"/>
                <w:lang w:val="en-US"/>
              </w:rPr>
              <w:t xml:space="preserve">mail : </w:t>
            </w:r>
            <w:hyperlink r:id="rId11" w:history="1">
              <w:r w:rsidRPr="00E02AF9">
                <w:rPr>
                  <w:rStyle w:val="Lienhypertexte"/>
                  <w:color w:val="581D74"/>
                  <w:sz w:val="16"/>
                  <w:szCs w:val="16"/>
                  <w:lang w:val="en-US"/>
                </w:rPr>
                <w:t>investor.relations@bpce.fr</w:t>
              </w:r>
            </w:hyperlink>
          </w:p>
        </w:tc>
      </w:tr>
      <w:tr w:rsidR="00A905D1" w:rsidRPr="00FD1221">
        <w:tblPrEx>
          <w:tblCellMar>
            <w:top w:w="0" w:type="dxa"/>
          </w:tblCellMar>
        </w:tblPrEx>
        <w:trPr>
          <w:trHeight w:val="283"/>
        </w:trPr>
        <w:tc>
          <w:tcPr>
            <w:tcW w:w="4819" w:type="dxa"/>
            <w:tcBorders>
              <w:top w:val="nil"/>
            </w:tcBorders>
            <w:shd w:val="clear" w:color="auto" w:fill="D9D9D9" w:themeFill="background1" w:themeFillShade="D9"/>
            <w:vAlign w:val="center"/>
          </w:tcPr>
          <w:p w:rsidR="00A905D1" w:rsidRPr="00FD1221" w:rsidRDefault="005D0707" w:rsidP="003207FA">
            <w:pPr>
              <w:tabs>
                <w:tab w:val="left" w:pos="7185"/>
              </w:tabs>
              <w:ind w:left="142"/>
              <w:jc w:val="left"/>
              <w:rPr>
                <w:color w:val="581D74"/>
              </w:rPr>
            </w:pPr>
            <w:hyperlink r:id="rId12" w:history="1">
              <w:r w:rsidR="00A905D1" w:rsidRPr="00FD1221">
                <w:rPr>
                  <w:rStyle w:val="Lienhypertexte"/>
                  <w:b/>
                  <w:bCs/>
                  <w:color w:val="581D74" w:themeColor="accent1"/>
                  <w:sz w:val="16"/>
                  <w:szCs w:val="16"/>
                </w:rPr>
                <w:t>www.bpce.fr</w:t>
              </w:r>
            </w:hyperlink>
          </w:p>
        </w:tc>
        <w:tc>
          <w:tcPr>
            <w:tcW w:w="4819" w:type="dxa"/>
            <w:tcBorders>
              <w:top w:val="nil"/>
            </w:tcBorders>
            <w:shd w:val="clear" w:color="auto" w:fill="D9D9D9" w:themeFill="background1" w:themeFillShade="D9"/>
            <w:vAlign w:val="center"/>
          </w:tcPr>
          <w:p w:rsidR="00A905D1" w:rsidRPr="00FD1221" w:rsidRDefault="00E63ACB" w:rsidP="003207FA">
            <w:pPr>
              <w:tabs>
                <w:tab w:val="left" w:pos="7185"/>
              </w:tabs>
              <w:ind w:left="76"/>
              <w:jc w:val="left"/>
            </w:pPr>
            <w:r>
              <w:rPr>
                <w:noProof/>
              </w:rPr>
              <mc:AlternateContent>
                <mc:Choice Requires="wps">
                  <w:drawing>
                    <wp:anchor distT="0" distB="0" distL="114300" distR="36195" simplePos="0" relativeHeight="251658240" behindDoc="0" locked="0" layoutInCell="1" allowOverlap="1">
                      <wp:simplePos x="0" y="0"/>
                      <wp:positionH relativeFrom="column">
                        <wp:posOffset>46990</wp:posOffset>
                      </wp:positionH>
                      <wp:positionV relativeFrom="paragraph">
                        <wp:posOffset>0</wp:posOffset>
                      </wp:positionV>
                      <wp:extent cx="172720" cy="144145"/>
                      <wp:effectExtent l="0" t="0" r="0" b="8255"/>
                      <wp:wrapSquare wrapText="bothSides"/>
                      <wp:docPr id="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2720" cy="144145"/>
                              </a:xfrm>
                              <a:custGeom>
                                <a:avLst/>
                                <a:gdLst>
                                  <a:gd name="T0" fmla="*/ 73 w 73"/>
                                  <a:gd name="T1" fmla="*/ 7 h 60"/>
                                  <a:gd name="T2" fmla="*/ 64 w 73"/>
                                  <a:gd name="T3" fmla="*/ 9 h 60"/>
                                  <a:gd name="T4" fmla="*/ 71 w 73"/>
                                  <a:gd name="T5" fmla="*/ 1 h 60"/>
                                  <a:gd name="T6" fmla="*/ 62 w 73"/>
                                  <a:gd name="T7" fmla="*/ 5 h 60"/>
                                  <a:gd name="T8" fmla="*/ 51 w 73"/>
                                  <a:gd name="T9" fmla="*/ 0 h 60"/>
                                  <a:gd name="T10" fmla="*/ 36 w 73"/>
                                  <a:gd name="T11" fmla="*/ 15 h 60"/>
                                  <a:gd name="T12" fmla="*/ 36 w 73"/>
                                  <a:gd name="T13" fmla="*/ 18 h 60"/>
                                  <a:gd name="T14" fmla="*/ 5 w 73"/>
                                  <a:gd name="T15" fmla="*/ 3 h 60"/>
                                  <a:gd name="T16" fmla="*/ 3 w 73"/>
                                  <a:gd name="T17" fmla="*/ 10 h 60"/>
                                  <a:gd name="T18" fmla="*/ 10 w 73"/>
                                  <a:gd name="T19" fmla="*/ 23 h 60"/>
                                  <a:gd name="T20" fmla="*/ 3 w 73"/>
                                  <a:gd name="T21" fmla="*/ 21 h 60"/>
                                  <a:gd name="T22" fmla="*/ 3 w 73"/>
                                  <a:gd name="T23" fmla="*/ 21 h 60"/>
                                  <a:gd name="T24" fmla="*/ 15 w 73"/>
                                  <a:gd name="T25" fmla="*/ 36 h 60"/>
                                  <a:gd name="T26" fmla="*/ 11 w 73"/>
                                  <a:gd name="T27" fmla="*/ 36 h 60"/>
                                  <a:gd name="T28" fmla="*/ 8 w 73"/>
                                  <a:gd name="T29" fmla="*/ 36 h 60"/>
                                  <a:gd name="T30" fmla="*/ 22 w 73"/>
                                  <a:gd name="T31" fmla="*/ 47 h 60"/>
                                  <a:gd name="T32" fmla="*/ 3 w 73"/>
                                  <a:gd name="T33" fmla="*/ 53 h 60"/>
                                  <a:gd name="T34" fmla="*/ 0 w 73"/>
                                  <a:gd name="T35" fmla="*/ 53 h 60"/>
                                  <a:gd name="T36" fmla="*/ 23 w 73"/>
                                  <a:gd name="T37" fmla="*/ 60 h 60"/>
                                  <a:gd name="T38" fmla="*/ 66 w 73"/>
                                  <a:gd name="T39" fmla="*/ 17 h 60"/>
                                  <a:gd name="T40" fmla="*/ 66 w 73"/>
                                  <a:gd name="T41" fmla="*/ 15 h 60"/>
                                  <a:gd name="T42" fmla="*/ 73 w 73"/>
                                  <a:gd name="T43" fmla="*/ 7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73" h="60">
                                    <a:moveTo>
                                      <a:pt x="73" y="7"/>
                                    </a:moveTo>
                                    <a:cubicBezTo>
                                      <a:pt x="70" y="8"/>
                                      <a:pt x="67" y="9"/>
                                      <a:pt x="64" y="9"/>
                                    </a:cubicBezTo>
                                    <a:cubicBezTo>
                                      <a:pt x="68" y="8"/>
                                      <a:pt x="70" y="5"/>
                                      <a:pt x="71" y="1"/>
                                    </a:cubicBezTo>
                                    <a:cubicBezTo>
                                      <a:pt x="68" y="3"/>
                                      <a:pt x="65" y="4"/>
                                      <a:pt x="62" y="5"/>
                                    </a:cubicBezTo>
                                    <a:cubicBezTo>
                                      <a:pt x="59" y="2"/>
                                      <a:pt x="55" y="0"/>
                                      <a:pt x="51" y="0"/>
                                    </a:cubicBezTo>
                                    <a:cubicBezTo>
                                      <a:pt x="42" y="0"/>
                                      <a:pt x="36" y="7"/>
                                      <a:pt x="36" y="15"/>
                                    </a:cubicBezTo>
                                    <a:cubicBezTo>
                                      <a:pt x="36" y="16"/>
                                      <a:pt x="36" y="17"/>
                                      <a:pt x="36" y="18"/>
                                    </a:cubicBezTo>
                                    <a:cubicBezTo>
                                      <a:pt x="23" y="18"/>
                                      <a:pt x="12" y="12"/>
                                      <a:pt x="5" y="3"/>
                                    </a:cubicBezTo>
                                    <a:cubicBezTo>
                                      <a:pt x="4" y="5"/>
                                      <a:pt x="3" y="8"/>
                                      <a:pt x="3" y="10"/>
                                    </a:cubicBezTo>
                                    <a:cubicBezTo>
                                      <a:pt x="3" y="16"/>
                                      <a:pt x="6" y="20"/>
                                      <a:pt x="10" y="23"/>
                                    </a:cubicBezTo>
                                    <a:cubicBezTo>
                                      <a:pt x="7" y="23"/>
                                      <a:pt x="5" y="22"/>
                                      <a:pt x="3" y="21"/>
                                    </a:cubicBezTo>
                                    <a:cubicBezTo>
                                      <a:pt x="3" y="21"/>
                                      <a:pt x="3" y="21"/>
                                      <a:pt x="3" y="21"/>
                                    </a:cubicBezTo>
                                    <a:cubicBezTo>
                                      <a:pt x="3" y="28"/>
                                      <a:pt x="8" y="34"/>
                                      <a:pt x="15" y="36"/>
                                    </a:cubicBezTo>
                                    <a:cubicBezTo>
                                      <a:pt x="14" y="36"/>
                                      <a:pt x="12" y="36"/>
                                      <a:pt x="11" y="36"/>
                                    </a:cubicBezTo>
                                    <a:cubicBezTo>
                                      <a:pt x="10" y="36"/>
                                      <a:pt x="9" y="36"/>
                                      <a:pt x="8" y="36"/>
                                    </a:cubicBezTo>
                                    <a:cubicBezTo>
                                      <a:pt x="10" y="42"/>
                                      <a:pt x="16" y="46"/>
                                      <a:pt x="22" y="47"/>
                                    </a:cubicBezTo>
                                    <a:cubicBezTo>
                                      <a:pt x="17" y="51"/>
                                      <a:pt x="10" y="53"/>
                                      <a:pt x="3" y="53"/>
                                    </a:cubicBezTo>
                                    <a:cubicBezTo>
                                      <a:pt x="2" y="53"/>
                                      <a:pt x="1" y="53"/>
                                      <a:pt x="0" y="53"/>
                                    </a:cubicBezTo>
                                    <a:cubicBezTo>
                                      <a:pt x="7" y="57"/>
                                      <a:pt x="14" y="60"/>
                                      <a:pt x="23" y="60"/>
                                    </a:cubicBezTo>
                                    <a:cubicBezTo>
                                      <a:pt x="51" y="60"/>
                                      <a:pt x="66" y="37"/>
                                      <a:pt x="66" y="17"/>
                                    </a:cubicBezTo>
                                    <a:cubicBezTo>
                                      <a:pt x="66" y="16"/>
                                      <a:pt x="66" y="15"/>
                                      <a:pt x="66" y="15"/>
                                    </a:cubicBezTo>
                                    <a:cubicBezTo>
                                      <a:pt x="69" y="13"/>
                                      <a:pt x="71" y="10"/>
                                      <a:pt x="73" y="7"/>
                                    </a:cubicBezTo>
                                    <a:close/>
                                  </a:path>
                                </a:pathLst>
                              </a:custGeom>
                              <a:solidFill>
                                <a:srgbClr val="00B0F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 o:spid="_x0000_s1026" style="position:absolute;margin-left:3.7pt;margin-top:0;width:13.6pt;height:11.35pt;z-index:251658240;visibility:visible;mso-wrap-style:square;mso-width-percent:0;mso-height-percent:0;mso-wrap-distance-left:9pt;mso-wrap-distance-top:0;mso-wrap-distance-right:2.85pt;mso-wrap-distance-bottom:0;mso-position-horizontal:absolute;mso-position-horizontal-relative:text;mso-position-vertical:absolute;mso-position-vertical-relative:text;mso-width-percent:0;mso-height-percent:0;mso-width-relative:page;mso-height-relative:page;v-text-anchor:top" coordsize="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" path="m73,7c70,8,67,9,64,9,68,8,70,5,71,1,68,3,65,4,62,5,59,2,55,,51,,42,,36,7,36,15v,1,,2,,3c23,18,12,12,5,3,4,5,3,8,3,10v,6,3,10,7,13c7,23,5,22,3,21v,,,,,c3,28,8,34,15,36v-1,,-3,,-4,c10,36,9,36,8,36v2,6,8,10,14,11c17,51,10,53,3,53v-1,,-2,,-3,c7,57,14,60,23,60,51,60,66,37,66,17v,-1,,-2,,-2c69,13,71,10,73,7xe" fillcolor="#00b0f0" stroked="f">
                      <v:path arrowok="t" o:connecttype="custom" o:connectlocs="172720,16817;151426,21622;167988,2402;146694,12012;120667,0;85177,36036;85177,43244;11830,7207;7098,24024;23660,55256;7098,50451;7098,50451;35490,86487;26026,86487;18928,86487;52053,112914;7098,127328;0,127328;54419,144145;156158,40841;156158,36036;172720,16817" o:connectangles="0,0,0,0,0,0,0,0,0,0,0,0,0,0,0,0,0,0,0,0,0,0"/>
                      <w10:wrap type="square"/>
                    </v:shape>
                  </w:pict>
                </mc:Fallback>
              </mc:AlternateContent>
            </w:r>
            <w:r w:rsidR="00A905D1" w:rsidRPr="00FD1221">
              <w:rPr>
                <w:iCs/>
                <w:sz w:val="16"/>
                <w:szCs w:val="16"/>
              </w:rPr>
              <w:t xml:space="preserve"> </w:t>
            </w:r>
            <w:hyperlink r:id="rId13" w:history="1">
              <w:r w:rsidR="00A905D1" w:rsidRPr="00FD1221">
                <w:rPr>
                  <w:rStyle w:val="Lienhypertexte"/>
                  <w:iCs/>
                  <w:color w:val="581D74" w:themeColor="accent1"/>
                  <w:sz w:val="16"/>
                  <w:szCs w:val="16"/>
                </w:rPr>
                <w:t>@</w:t>
              </w:r>
              <w:proofErr w:type="spellStart"/>
              <w:r w:rsidR="00A905D1" w:rsidRPr="00FD1221">
                <w:rPr>
                  <w:rStyle w:val="Lienhypertexte"/>
                  <w:iCs/>
                  <w:color w:val="581D74" w:themeColor="accent1"/>
                  <w:sz w:val="16"/>
                  <w:szCs w:val="16"/>
                </w:rPr>
                <w:t>GroupeBPCE</w:t>
              </w:r>
              <w:proofErr w:type="spellEnd"/>
            </w:hyperlink>
          </w:p>
        </w:tc>
      </w:tr>
    </w:tbl>
    <w:p w:rsidR="00796209" w:rsidRPr="00FD1221" w:rsidRDefault="00796209" w:rsidP="003A2FA1">
      <w:pPr>
        <w:tabs>
          <w:tab w:val="left" w:pos="3206"/>
        </w:tabs>
      </w:pPr>
    </w:p>
    <w:sectPr w:rsidR="00796209" w:rsidRPr="00FD1221" w:rsidSect="009C114A">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134" w:right="1134" w:bottom="426" w:left="1134" w:header="1134" w:footer="99" w:gutter="0"/>
      <w:pgNumType w:start="1"/>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707" w:rsidRDefault="005D0707">
      <w:r>
        <w:separator/>
      </w:r>
    </w:p>
  </w:endnote>
  <w:endnote w:type="continuationSeparator" w:id="0">
    <w:p w:rsidR="005D0707" w:rsidRDefault="005D0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 w:name="Verdana,Bold">
    <w:panose1 w:val="00000000000000000000"/>
    <w:charset w:val="00"/>
    <w:family w:val="auto"/>
    <w:notTrueType/>
    <w:pitch w:val="default"/>
    <w:sig w:usb0="00000003" w:usb1="00000000" w:usb2="00000000" w:usb3="00000000" w:csb0="00000001" w:csb1="00000000"/>
  </w:font>
  <w:font w:name="Verdana,Italic">
    <w:altName w:val="Cambri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707" w:rsidRDefault="005D070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832"/>
      <w:gridCol w:w="4806"/>
    </w:tblGrid>
    <w:tr w:rsidR="005D0707">
      <w:tc>
        <w:tcPr>
          <w:tcW w:w="4832" w:type="dxa"/>
        </w:tcPr>
        <w:p w:rsidR="005D0707" w:rsidRDefault="005D0707" w:rsidP="00514B6F">
          <w:pPr>
            <w:pStyle w:val="Pieddepage"/>
            <w:tabs>
              <w:tab w:val="clear" w:pos="4536"/>
              <w:tab w:val="clear" w:pos="9072"/>
              <w:tab w:val="right" w:pos="9638"/>
            </w:tabs>
            <w:spacing w:before="120"/>
            <w:rPr>
              <w:color w:val="581D74"/>
              <w:sz w:val="16"/>
              <w:szCs w:val="16"/>
            </w:rPr>
          </w:pPr>
        </w:p>
      </w:tc>
      <w:tc>
        <w:tcPr>
          <w:tcW w:w="4806" w:type="dxa"/>
          <w:vAlign w:val="center"/>
        </w:tcPr>
        <w:p w:rsidR="005D0707" w:rsidRDefault="005D0707" w:rsidP="00514B6F">
          <w:pPr>
            <w:pStyle w:val="Pieddepage"/>
            <w:tabs>
              <w:tab w:val="clear" w:pos="4536"/>
              <w:tab w:val="clear" w:pos="9072"/>
              <w:tab w:val="right" w:pos="9638"/>
            </w:tabs>
            <w:spacing w:before="120"/>
            <w:jc w:val="right"/>
            <w:rPr>
              <w:color w:val="581D74"/>
              <w:sz w:val="16"/>
              <w:szCs w:val="16"/>
            </w:rPr>
          </w:pPr>
          <w:r w:rsidRPr="00E40854">
            <w:rPr>
              <w:color w:val="581D74"/>
              <w:sz w:val="16"/>
              <w:szCs w:val="16"/>
            </w:rPr>
            <w:t xml:space="preserve">- </w:t>
          </w:r>
          <w:r w:rsidRPr="00E40854">
            <w:rPr>
              <w:rStyle w:val="Numrodepage"/>
              <w:color w:val="581D74"/>
              <w:sz w:val="16"/>
              <w:szCs w:val="16"/>
            </w:rPr>
            <w:fldChar w:fldCharType="begin"/>
          </w:r>
          <w:r w:rsidRPr="00E40854">
            <w:rPr>
              <w:rStyle w:val="Numrodepage"/>
              <w:color w:val="581D74"/>
              <w:sz w:val="16"/>
              <w:szCs w:val="16"/>
            </w:rPr>
            <w:instrText xml:space="preserve"> PAGE </w:instrText>
          </w:r>
          <w:r w:rsidRPr="00E40854">
            <w:rPr>
              <w:rStyle w:val="Numrodepage"/>
              <w:color w:val="581D74"/>
              <w:sz w:val="16"/>
              <w:szCs w:val="16"/>
            </w:rPr>
            <w:fldChar w:fldCharType="separate"/>
          </w:r>
          <w:r w:rsidR="009A72EC">
            <w:rPr>
              <w:rStyle w:val="Numrodepage"/>
              <w:noProof/>
              <w:color w:val="581D74"/>
              <w:sz w:val="16"/>
              <w:szCs w:val="16"/>
            </w:rPr>
            <w:t>15</w:t>
          </w:r>
          <w:r w:rsidRPr="00E40854">
            <w:rPr>
              <w:rStyle w:val="Numrodepage"/>
              <w:color w:val="581D74"/>
              <w:sz w:val="16"/>
              <w:szCs w:val="16"/>
            </w:rPr>
            <w:fldChar w:fldCharType="end"/>
          </w:r>
          <w:r w:rsidRPr="00E40854">
            <w:rPr>
              <w:rStyle w:val="Numrodepage"/>
              <w:color w:val="581D74"/>
              <w:sz w:val="16"/>
              <w:szCs w:val="16"/>
            </w:rPr>
            <w:t>/</w:t>
          </w:r>
          <w:r w:rsidRPr="00E40854">
            <w:rPr>
              <w:rStyle w:val="Numrodepage"/>
              <w:color w:val="581D74"/>
              <w:sz w:val="16"/>
              <w:szCs w:val="16"/>
            </w:rPr>
            <w:fldChar w:fldCharType="begin"/>
          </w:r>
          <w:r w:rsidRPr="00E40854">
            <w:rPr>
              <w:rStyle w:val="Numrodepage"/>
              <w:color w:val="581D74"/>
              <w:sz w:val="16"/>
              <w:szCs w:val="16"/>
            </w:rPr>
            <w:instrText xml:space="preserve"> NUMPAGES </w:instrText>
          </w:r>
          <w:r w:rsidRPr="00E40854">
            <w:rPr>
              <w:rStyle w:val="Numrodepage"/>
              <w:color w:val="581D74"/>
              <w:sz w:val="16"/>
              <w:szCs w:val="16"/>
            </w:rPr>
            <w:fldChar w:fldCharType="separate"/>
          </w:r>
          <w:r w:rsidR="009A72EC">
            <w:rPr>
              <w:rStyle w:val="Numrodepage"/>
              <w:noProof/>
              <w:color w:val="581D74"/>
              <w:sz w:val="16"/>
              <w:szCs w:val="16"/>
            </w:rPr>
            <w:t>15</w:t>
          </w:r>
          <w:r w:rsidRPr="00E40854">
            <w:rPr>
              <w:rStyle w:val="Numrodepage"/>
              <w:color w:val="581D74"/>
              <w:sz w:val="16"/>
              <w:szCs w:val="16"/>
            </w:rPr>
            <w:fldChar w:fldCharType="end"/>
          </w:r>
          <w:r w:rsidRPr="00E40854">
            <w:rPr>
              <w:rStyle w:val="Numrodepage"/>
              <w:color w:val="581D74"/>
              <w:sz w:val="16"/>
              <w:szCs w:val="16"/>
            </w:rPr>
            <w:t xml:space="preserve"> -</w:t>
          </w:r>
        </w:p>
      </w:tc>
    </w:tr>
  </w:tbl>
  <w:p w:rsidR="005D0707" w:rsidRPr="0025084D" w:rsidRDefault="005D0707" w:rsidP="0025084D">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832"/>
      <w:gridCol w:w="4806"/>
    </w:tblGrid>
    <w:tr w:rsidR="005D0707">
      <w:tc>
        <w:tcPr>
          <w:tcW w:w="4832" w:type="dxa"/>
        </w:tcPr>
        <w:p w:rsidR="005D0707" w:rsidRDefault="005D0707" w:rsidP="003207FA">
          <w:pPr>
            <w:pStyle w:val="Pieddepage"/>
            <w:tabs>
              <w:tab w:val="clear" w:pos="4536"/>
              <w:tab w:val="clear" w:pos="9072"/>
              <w:tab w:val="right" w:pos="9638"/>
            </w:tabs>
            <w:spacing w:before="120"/>
            <w:rPr>
              <w:color w:val="581D74"/>
              <w:sz w:val="16"/>
              <w:szCs w:val="16"/>
            </w:rPr>
          </w:pPr>
        </w:p>
      </w:tc>
      <w:tc>
        <w:tcPr>
          <w:tcW w:w="4806" w:type="dxa"/>
          <w:vAlign w:val="bottom"/>
        </w:tcPr>
        <w:p w:rsidR="005D0707" w:rsidRDefault="005D0707" w:rsidP="003207FA">
          <w:pPr>
            <w:pStyle w:val="Pieddepage"/>
            <w:tabs>
              <w:tab w:val="clear" w:pos="4536"/>
              <w:tab w:val="clear" w:pos="9072"/>
              <w:tab w:val="right" w:pos="9638"/>
            </w:tabs>
            <w:spacing w:before="120"/>
            <w:jc w:val="right"/>
            <w:rPr>
              <w:color w:val="581D74"/>
              <w:sz w:val="16"/>
              <w:szCs w:val="16"/>
            </w:rPr>
          </w:pPr>
          <w:r w:rsidRPr="00E40854">
            <w:rPr>
              <w:color w:val="581D74"/>
              <w:sz w:val="16"/>
              <w:szCs w:val="16"/>
            </w:rPr>
            <w:t xml:space="preserve">- </w:t>
          </w:r>
          <w:r w:rsidRPr="00E40854">
            <w:rPr>
              <w:rStyle w:val="Numrodepage"/>
              <w:color w:val="581D74"/>
              <w:sz w:val="16"/>
              <w:szCs w:val="16"/>
            </w:rPr>
            <w:fldChar w:fldCharType="begin"/>
          </w:r>
          <w:r w:rsidRPr="00E40854">
            <w:rPr>
              <w:rStyle w:val="Numrodepage"/>
              <w:color w:val="581D74"/>
              <w:sz w:val="16"/>
              <w:szCs w:val="16"/>
            </w:rPr>
            <w:instrText xml:space="preserve"> PAGE </w:instrText>
          </w:r>
          <w:r w:rsidRPr="00E40854">
            <w:rPr>
              <w:rStyle w:val="Numrodepage"/>
              <w:color w:val="581D74"/>
              <w:sz w:val="16"/>
              <w:szCs w:val="16"/>
            </w:rPr>
            <w:fldChar w:fldCharType="separate"/>
          </w:r>
          <w:r w:rsidR="009A72EC">
            <w:rPr>
              <w:rStyle w:val="Numrodepage"/>
              <w:noProof/>
              <w:color w:val="581D74"/>
              <w:sz w:val="16"/>
              <w:szCs w:val="16"/>
            </w:rPr>
            <w:t>1</w:t>
          </w:r>
          <w:r w:rsidRPr="00E40854">
            <w:rPr>
              <w:rStyle w:val="Numrodepage"/>
              <w:color w:val="581D74"/>
              <w:sz w:val="16"/>
              <w:szCs w:val="16"/>
            </w:rPr>
            <w:fldChar w:fldCharType="end"/>
          </w:r>
          <w:r w:rsidRPr="00E40854">
            <w:rPr>
              <w:rStyle w:val="Numrodepage"/>
              <w:color w:val="581D74"/>
              <w:sz w:val="16"/>
              <w:szCs w:val="16"/>
            </w:rPr>
            <w:t>/</w:t>
          </w:r>
          <w:r w:rsidRPr="00E40854">
            <w:rPr>
              <w:rStyle w:val="Numrodepage"/>
              <w:color w:val="581D74"/>
              <w:sz w:val="16"/>
              <w:szCs w:val="16"/>
            </w:rPr>
            <w:fldChar w:fldCharType="begin"/>
          </w:r>
          <w:r w:rsidRPr="00E40854">
            <w:rPr>
              <w:rStyle w:val="Numrodepage"/>
              <w:color w:val="581D74"/>
              <w:sz w:val="16"/>
              <w:szCs w:val="16"/>
            </w:rPr>
            <w:instrText xml:space="preserve"> NUMPAGES </w:instrText>
          </w:r>
          <w:r w:rsidRPr="00E40854">
            <w:rPr>
              <w:rStyle w:val="Numrodepage"/>
              <w:color w:val="581D74"/>
              <w:sz w:val="16"/>
              <w:szCs w:val="16"/>
            </w:rPr>
            <w:fldChar w:fldCharType="separate"/>
          </w:r>
          <w:r w:rsidR="009A72EC">
            <w:rPr>
              <w:rStyle w:val="Numrodepage"/>
              <w:noProof/>
              <w:color w:val="581D74"/>
              <w:sz w:val="16"/>
              <w:szCs w:val="16"/>
            </w:rPr>
            <w:t>15</w:t>
          </w:r>
          <w:r w:rsidRPr="00E40854">
            <w:rPr>
              <w:rStyle w:val="Numrodepage"/>
              <w:color w:val="581D74"/>
              <w:sz w:val="16"/>
              <w:szCs w:val="16"/>
            </w:rPr>
            <w:fldChar w:fldCharType="end"/>
          </w:r>
          <w:r w:rsidRPr="00E40854">
            <w:rPr>
              <w:rStyle w:val="Numrodepage"/>
              <w:color w:val="581D74"/>
              <w:sz w:val="16"/>
              <w:szCs w:val="16"/>
            </w:rPr>
            <w:t xml:space="preserve"> -</w:t>
          </w:r>
        </w:p>
      </w:tc>
    </w:tr>
  </w:tbl>
  <w:p w:rsidR="005D0707" w:rsidRDefault="005D0707" w:rsidP="0025084D">
    <w:pPr>
      <w:pStyle w:val="Pieddepage"/>
      <w:tabs>
        <w:tab w:val="clear" w:pos="4536"/>
        <w:tab w:val="clear" w:pos="9072"/>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707" w:rsidRDefault="005D0707">
      <w:r>
        <w:separator/>
      </w:r>
    </w:p>
  </w:footnote>
  <w:footnote w:type="continuationSeparator" w:id="0">
    <w:p w:rsidR="005D0707" w:rsidRDefault="005D0707">
      <w:r>
        <w:continuationSeparator/>
      </w:r>
    </w:p>
  </w:footnote>
  <w:footnote w:id="1">
    <w:p w:rsidR="005D0707" w:rsidRDefault="005D0707" w:rsidP="00D8707E">
      <w:pPr>
        <w:pStyle w:val="Notedebasdepage"/>
        <w:spacing w:line="240" w:lineRule="auto"/>
        <w:ind w:left="142" w:hanging="142"/>
        <w:contextualSpacing/>
        <w:jc w:val="both"/>
      </w:pPr>
      <w:r w:rsidRPr="00CF763D">
        <w:rPr>
          <w:rStyle w:val="Appelnotedebasdep"/>
          <w:sz w:val="14"/>
          <w:szCs w:val="14"/>
        </w:rPr>
        <w:footnoteRef/>
      </w:r>
      <w:r>
        <w:rPr>
          <w:rStyle w:val="Appelnotedebasdep"/>
          <w:sz w:val="14"/>
          <w:szCs w:val="14"/>
        </w:rPr>
        <w:tab/>
      </w:r>
      <w:r w:rsidRPr="00AC0678">
        <w:rPr>
          <w:sz w:val="14"/>
          <w:szCs w:val="14"/>
        </w:rPr>
        <w:t xml:space="preserve">Résultats T3-13 et </w:t>
      </w:r>
      <w:proofErr w:type="gramStart"/>
      <w:r w:rsidRPr="00AC0678">
        <w:rPr>
          <w:sz w:val="14"/>
          <w:szCs w:val="14"/>
        </w:rPr>
        <w:t>9M-13 pro</w:t>
      </w:r>
      <w:proofErr w:type="gramEnd"/>
      <w:r w:rsidRPr="00AC0678">
        <w:rPr>
          <w:sz w:val="14"/>
          <w:szCs w:val="14"/>
        </w:rPr>
        <w:t xml:space="preserve"> forma du transfert de BPCE Assurances à Natixis Assurances et du rachat (suivi de leur annulation) par les Banques Populaires et les Caisses d’Epargne des certificats coopératifs d’investissement (CCI) détenus par Natixis</w:t>
      </w:r>
      <w:r>
        <w:rPr>
          <w:sz w:val="14"/>
          <w:szCs w:val="14"/>
        </w:rPr>
        <w:t>.</w:t>
      </w:r>
    </w:p>
  </w:footnote>
  <w:footnote w:id="2">
    <w:p w:rsidR="005D0707" w:rsidRDefault="005D0707" w:rsidP="00D8707E">
      <w:pPr>
        <w:pStyle w:val="Notedebasdepage"/>
        <w:spacing w:line="240" w:lineRule="auto"/>
        <w:ind w:left="142" w:hanging="142"/>
      </w:pPr>
      <w:r w:rsidRPr="006E2EFD">
        <w:rPr>
          <w:rStyle w:val="Appelnotedebasdep"/>
          <w:sz w:val="14"/>
          <w:szCs w:val="14"/>
        </w:rPr>
        <w:footnoteRef/>
      </w:r>
      <w:r w:rsidRPr="006E2EFD">
        <w:rPr>
          <w:rStyle w:val="Appelnotedebasdep"/>
          <w:sz w:val="14"/>
          <w:szCs w:val="14"/>
        </w:rPr>
        <w:t xml:space="preserve"> </w:t>
      </w:r>
      <w:r>
        <w:rPr>
          <w:sz w:val="14"/>
          <w:szCs w:val="14"/>
        </w:rPr>
        <w:tab/>
      </w:r>
      <w:r w:rsidRPr="000448B3">
        <w:rPr>
          <w:rStyle w:val="Appelnotedebasdep"/>
          <w:sz w:val="14"/>
          <w:szCs w:val="14"/>
          <w:vertAlign w:val="baseline"/>
        </w:rPr>
        <w:t>Hors réévaluation de la dette propre</w:t>
      </w:r>
      <w:r>
        <w:rPr>
          <w:sz w:val="14"/>
          <w:szCs w:val="14"/>
        </w:rPr>
        <w:t>.</w:t>
      </w:r>
    </w:p>
  </w:footnote>
  <w:footnote w:id="3">
    <w:p w:rsidR="005D0707" w:rsidRDefault="005D0707" w:rsidP="00D8707E">
      <w:pPr>
        <w:pStyle w:val="Notedebasdepage"/>
        <w:spacing w:line="240" w:lineRule="auto"/>
        <w:ind w:left="142" w:hanging="142"/>
      </w:pPr>
      <w:r w:rsidRPr="008176AF">
        <w:rPr>
          <w:rStyle w:val="Appelnotedebasdep"/>
          <w:sz w:val="14"/>
          <w:szCs w:val="14"/>
        </w:rPr>
        <w:footnoteRef/>
      </w:r>
      <w:r w:rsidRPr="008176AF">
        <w:rPr>
          <w:rStyle w:val="Appelnotedebasdep"/>
          <w:sz w:val="14"/>
          <w:szCs w:val="14"/>
        </w:rPr>
        <w:t xml:space="preserve"> </w:t>
      </w:r>
      <w:r>
        <w:rPr>
          <w:sz w:val="14"/>
          <w:szCs w:val="14"/>
        </w:rPr>
        <w:tab/>
      </w:r>
      <w:r w:rsidRPr="008176AF">
        <w:rPr>
          <w:rStyle w:val="Appelnotedebasdep"/>
          <w:sz w:val="14"/>
          <w:szCs w:val="14"/>
          <w:vertAlign w:val="baseline"/>
        </w:rPr>
        <w:t>Estimation au 30/09/2014 – CRR/</w:t>
      </w:r>
      <w:r>
        <w:rPr>
          <w:rStyle w:val="Appelnotedebasdep"/>
          <w:sz w:val="14"/>
          <w:szCs w:val="14"/>
          <w:vertAlign w:val="baseline"/>
        </w:rPr>
        <w:t xml:space="preserve">CRD </w:t>
      </w:r>
      <w:r w:rsidRPr="008176AF">
        <w:rPr>
          <w:rStyle w:val="Appelnotedebasdep"/>
          <w:sz w:val="14"/>
          <w:szCs w:val="14"/>
          <w:vertAlign w:val="baseline"/>
        </w:rPr>
        <w:t>4 sans mesures transitoires après retraitement des impôts différés actifs</w:t>
      </w:r>
      <w:r>
        <w:rPr>
          <w:sz w:val="14"/>
          <w:szCs w:val="14"/>
        </w:rPr>
        <w:t>.</w:t>
      </w:r>
    </w:p>
  </w:footnote>
  <w:footnote w:id="4">
    <w:p w:rsidR="005D0707" w:rsidRPr="000448B3" w:rsidRDefault="005D0707" w:rsidP="00D8707E">
      <w:pPr>
        <w:pStyle w:val="Notedebasdepage"/>
        <w:spacing w:line="240" w:lineRule="auto"/>
        <w:ind w:left="142" w:hanging="142"/>
        <w:contextualSpacing/>
        <w:rPr>
          <w:rStyle w:val="Appelnotedebasdep"/>
          <w:rFonts w:eastAsiaTheme="minorHAnsi" w:cstheme="minorBidi"/>
          <w:sz w:val="22"/>
          <w:szCs w:val="22"/>
        </w:rPr>
      </w:pPr>
      <w:r w:rsidRPr="0084390E">
        <w:rPr>
          <w:rStyle w:val="Appelnotedebasdep"/>
          <w:sz w:val="14"/>
          <w:szCs w:val="14"/>
        </w:rPr>
        <w:footnoteRef/>
      </w:r>
      <w:r>
        <w:rPr>
          <w:sz w:val="14"/>
          <w:szCs w:val="14"/>
        </w:rPr>
        <w:tab/>
      </w:r>
      <w:r>
        <w:rPr>
          <w:rStyle w:val="Appelnotedebasdep"/>
          <w:sz w:val="14"/>
          <w:szCs w:val="14"/>
          <w:vertAlign w:val="baseline"/>
        </w:rPr>
        <w:t>Hors épargne centralisée</w:t>
      </w:r>
      <w:r>
        <w:rPr>
          <w:sz w:val="14"/>
          <w:szCs w:val="14"/>
        </w:rPr>
        <w:t>.</w:t>
      </w:r>
    </w:p>
  </w:footnote>
  <w:footnote w:id="5">
    <w:p w:rsidR="005D0707" w:rsidRDefault="005D0707" w:rsidP="00D8707E">
      <w:pPr>
        <w:pStyle w:val="Notedebasdepage"/>
        <w:spacing w:line="240" w:lineRule="auto"/>
        <w:ind w:left="142" w:hanging="142"/>
      </w:pPr>
      <w:r w:rsidRPr="006B0ECD">
        <w:rPr>
          <w:rStyle w:val="Appelnotedebasdep"/>
          <w:sz w:val="14"/>
          <w:szCs w:val="14"/>
        </w:rPr>
        <w:footnoteRef/>
      </w:r>
      <w:r w:rsidRPr="006B0ECD">
        <w:rPr>
          <w:rStyle w:val="Appelnotedebasdep"/>
          <w:sz w:val="14"/>
          <w:szCs w:val="14"/>
        </w:rPr>
        <w:t xml:space="preserve"> </w:t>
      </w:r>
      <w:r>
        <w:rPr>
          <w:sz w:val="14"/>
          <w:szCs w:val="14"/>
        </w:rPr>
        <w:tab/>
      </w:r>
      <w:r w:rsidRPr="006B0ECD">
        <w:rPr>
          <w:rStyle w:val="Appelnotedebasdep"/>
          <w:sz w:val="14"/>
          <w:szCs w:val="14"/>
          <w:vertAlign w:val="baseline"/>
        </w:rPr>
        <w:t xml:space="preserve">Coût du risque en </w:t>
      </w:r>
      <w:proofErr w:type="spellStart"/>
      <w:r w:rsidRPr="006B0ECD">
        <w:rPr>
          <w:rStyle w:val="Appelnotedebasdep"/>
          <w:sz w:val="14"/>
          <w:szCs w:val="14"/>
          <w:vertAlign w:val="baseline"/>
        </w:rPr>
        <w:t>pb</w:t>
      </w:r>
      <w:proofErr w:type="spellEnd"/>
      <w:r w:rsidRPr="006B0ECD">
        <w:rPr>
          <w:rStyle w:val="Appelnotedebasdep"/>
          <w:sz w:val="14"/>
          <w:szCs w:val="14"/>
          <w:vertAlign w:val="baseline"/>
        </w:rPr>
        <w:t xml:space="preserve"> annualisés sur encours bruts de crédits à la clientèle début de période</w:t>
      </w:r>
      <w:r>
        <w:rPr>
          <w:sz w:val="14"/>
          <w:szCs w:val="14"/>
        </w:rPr>
        <w:t>.</w:t>
      </w:r>
    </w:p>
  </w:footnote>
  <w:footnote w:id="6">
    <w:p w:rsidR="005D0707" w:rsidRDefault="005D0707" w:rsidP="00D8707E">
      <w:pPr>
        <w:pStyle w:val="Notedebasdepage"/>
        <w:spacing w:line="240" w:lineRule="auto"/>
        <w:ind w:left="142" w:hanging="142"/>
      </w:pPr>
      <w:r w:rsidRPr="009400AD">
        <w:rPr>
          <w:rStyle w:val="Appelnotedebasdep"/>
          <w:sz w:val="14"/>
          <w:szCs w:val="14"/>
        </w:rPr>
        <w:footnoteRef/>
      </w:r>
      <w:r>
        <w:rPr>
          <w:sz w:val="14"/>
          <w:szCs w:val="14"/>
        </w:rPr>
        <w:tab/>
      </w:r>
      <w:r w:rsidRPr="009400AD">
        <w:rPr>
          <w:rStyle w:val="Appelnotedebasdep"/>
          <w:sz w:val="14"/>
          <w:szCs w:val="14"/>
          <w:vertAlign w:val="baseline"/>
        </w:rPr>
        <w:t>Estimation au 30/09/2014 selon les règles de l’Acte délégué publié par la Commission Européenne le 10 octobre 2014</w:t>
      </w:r>
      <w:r>
        <w:rPr>
          <w:sz w:val="14"/>
          <w:szCs w:val="14"/>
        </w:rPr>
        <w:t>.</w:t>
      </w:r>
    </w:p>
  </w:footnote>
  <w:footnote w:id="7">
    <w:p w:rsidR="005D0707" w:rsidRDefault="005D0707" w:rsidP="00D8707E">
      <w:pPr>
        <w:pStyle w:val="Notedebasdepage"/>
        <w:spacing w:line="240" w:lineRule="auto"/>
        <w:ind w:left="142" w:hanging="142"/>
        <w:contextualSpacing/>
        <w:jc w:val="both"/>
      </w:pPr>
      <w:r w:rsidRPr="00AC0678">
        <w:rPr>
          <w:rStyle w:val="Appelnotedebasdep"/>
          <w:sz w:val="14"/>
          <w:szCs w:val="14"/>
        </w:rPr>
        <w:footnoteRef/>
      </w:r>
      <w:r w:rsidRPr="00AC0678">
        <w:rPr>
          <w:sz w:val="14"/>
          <w:szCs w:val="14"/>
        </w:rPr>
        <w:t xml:space="preserve"> </w:t>
      </w:r>
      <w:r>
        <w:rPr>
          <w:sz w:val="14"/>
          <w:szCs w:val="14"/>
        </w:rPr>
        <w:tab/>
      </w:r>
      <w:r w:rsidRPr="00AC0678">
        <w:rPr>
          <w:sz w:val="14"/>
          <w:szCs w:val="14"/>
        </w:rPr>
        <w:t xml:space="preserve">Résultats T3-13 et </w:t>
      </w:r>
      <w:proofErr w:type="gramStart"/>
      <w:r w:rsidRPr="00AC0678">
        <w:rPr>
          <w:sz w:val="14"/>
          <w:szCs w:val="14"/>
        </w:rPr>
        <w:t>9M-13 pro</w:t>
      </w:r>
      <w:proofErr w:type="gramEnd"/>
      <w:r w:rsidRPr="00AC0678">
        <w:rPr>
          <w:sz w:val="14"/>
          <w:szCs w:val="14"/>
        </w:rPr>
        <w:t xml:space="preserve"> forma du transfert de BPCE Assurances à Natixis Assurances et du rachat (suivi de leur annulation) par les Banques Populaires et les Caisses d’Epargne des certificats coopératifs d’investissement (CCI) détenus par Natixis</w:t>
      </w:r>
      <w:r>
        <w:rPr>
          <w:sz w:val="14"/>
          <w:szCs w:val="14"/>
        </w:rPr>
        <w:t>.</w:t>
      </w:r>
    </w:p>
  </w:footnote>
  <w:footnote w:id="8">
    <w:p w:rsidR="005D0707" w:rsidRDefault="005D0707" w:rsidP="0040460D">
      <w:pPr>
        <w:pStyle w:val="Notedebasdepage"/>
        <w:spacing w:line="240" w:lineRule="auto"/>
      </w:pPr>
      <w:r w:rsidRPr="00724DC7">
        <w:rPr>
          <w:rStyle w:val="Appelnotedebasdep"/>
          <w:sz w:val="14"/>
          <w:szCs w:val="14"/>
        </w:rPr>
        <w:footnoteRef/>
      </w:r>
      <w:r>
        <w:t xml:space="preserve"> </w:t>
      </w:r>
      <w:r w:rsidRPr="00724DC7">
        <w:rPr>
          <w:sz w:val="14"/>
          <w:szCs w:val="14"/>
        </w:rPr>
        <w:t>Hors réévaluation de la dette propre</w:t>
      </w:r>
      <w:r>
        <w:rPr>
          <w:sz w:val="14"/>
          <w:szCs w:val="14"/>
        </w:rPr>
        <w:t>.</w:t>
      </w:r>
    </w:p>
  </w:footnote>
  <w:footnote w:id="9">
    <w:p w:rsidR="005D0707" w:rsidRDefault="005D0707" w:rsidP="0040460D">
      <w:pPr>
        <w:pStyle w:val="Notedebasdepage"/>
        <w:spacing w:line="240" w:lineRule="auto"/>
      </w:pPr>
      <w:r w:rsidRPr="0094174D">
        <w:rPr>
          <w:rStyle w:val="Appelnotedebasdep"/>
          <w:sz w:val="14"/>
          <w:szCs w:val="14"/>
        </w:rPr>
        <w:footnoteRef/>
      </w:r>
      <w:r w:rsidRPr="0094174D">
        <w:t xml:space="preserve"> </w:t>
      </w:r>
      <w:r w:rsidRPr="0094174D">
        <w:rPr>
          <w:rStyle w:val="Appelnotedebasdep"/>
          <w:sz w:val="14"/>
          <w:szCs w:val="14"/>
          <w:vertAlign w:val="baseline"/>
        </w:rPr>
        <w:t xml:space="preserve">Coût du risque en </w:t>
      </w:r>
      <w:proofErr w:type="spellStart"/>
      <w:r w:rsidRPr="0094174D">
        <w:rPr>
          <w:rStyle w:val="Appelnotedebasdep"/>
          <w:sz w:val="14"/>
          <w:szCs w:val="14"/>
          <w:vertAlign w:val="baseline"/>
        </w:rPr>
        <w:t>pb</w:t>
      </w:r>
      <w:proofErr w:type="spellEnd"/>
      <w:r w:rsidRPr="0094174D">
        <w:rPr>
          <w:rStyle w:val="Appelnotedebasdep"/>
          <w:sz w:val="14"/>
          <w:szCs w:val="14"/>
          <w:vertAlign w:val="baseline"/>
        </w:rPr>
        <w:t xml:space="preserve"> annualisés sur encours bruts de crédits à la clientèle début de période</w:t>
      </w:r>
      <w:r>
        <w:rPr>
          <w:sz w:val="14"/>
          <w:szCs w:val="14"/>
        </w:rPr>
        <w:t>.</w:t>
      </w:r>
    </w:p>
  </w:footnote>
  <w:footnote w:id="10">
    <w:p w:rsidR="005D0707" w:rsidRPr="00610EBF" w:rsidRDefault="005D0707" w:rsidP="00D21E6D">
      <w:pPr>
        <w:pStyle w:val="Notedebasdepage"/>
        <w:spacing w:line="240" w:lineRule="auto"/>
        <w:rPr>
          <w:sz w:val="14"/>
          <w:szCs w:val="14"/>
        </w:rPr>
      </w:pPr>
      <w:r w:rsidRPr="00610EBF">
        <w:rPr>
          <w:sz w:val="14"/>
          <w:szCs w:val="14"/>
          <w:vertAlign w:val="superscript"/>
        </w:rPr>
        <w:footnoteRef/>
      </w:r>
      <w:r w:rsidRPr="00610EBF">
        <w:rPr>
          <w:sz w:val="14"/>
          <w:szCs w:val="14"/>
        </w:rPr>
        <w:t xml:space="preserve"> Mise en réserve de résultats tenant compte de la distributi</w:t>
      </w:r>
      <w:r>
        <w:rPr>
          <w:sz w:val="14"/>
          <w:szCs w:val="14"/>
        </w:rPr>
        <w:t>on prévisionnelle de dividendes.</w:t>
      </w:r>
    </w:p>
  </w:footnote>
  <w:footnote w:id="11">
    <w:p w:rsidR="005D0707" w:rsidRPr="00ED2AD0" w:rsidRDefault="005D0707" w:rsidP="00D21E6D">
      <w:pPr>
        <w:pStyle w:val="Notedebasdepage"/>
        <w:spacing w:line="240" w:lineRule="auto"/>
        <w:rPr>
          <w:sz w:val="14"/>
          <w:szCs w:val="14"/>
        </w:rPr>
      </w:pPr>
      <w:r w:rsidRPr="00ED2AD0">
        <w:rPr>
          <w:rStyle w:val="Appelnotedebasdep"/>
          <w:sz w:val="14"/>
          <w:szCs w:val="14"/>
        </w:rPr>
        <w:footnoteRef/>
      </w:r>
      <w:r>
        <w:rPr>
          <w:sz w:val="14"/>
          <w:szCs w:val="14"/>
        </w:rPr>
        <w:t xml:space="preserve"> Estimation au 30/09/2014 – CRR/CRD </w:t>
      </w:r>
      <w:r w:rsidRPr="00ED2AD0">
        <w:rPr>
          <w:sz w:val="14"/>
          <w:szCs w:val="14"/>
        </w:rPr>
        <w:t>4, sans mesures transitoires après retraite</w:t>
      </w:r>
      <w:r>
        <w:rPr>
          <w:sz w:val="14"/>
          <w:szCs w:val="14"/>
        </w:rPr>
        <w:t>ment des impôts différés actifs.</w:t>
      </w:r>
    </w:p>
  </w:footnote>
  <w:footnote w:id="12">
    <w:p w:rsidR="005D0707" w:rsidRPr="00AA4F3D" w:rsidRDefault="005D0707" w:rsidP="00D21E6D">
      <w:pPr>
        <w:pStyle w:val="Notedebasdepage"/>
        <w:spacing w:line="240" w:lineRule="auto"/>
        <w:rPr>
          <w:sz w:val="12"/>
          <w:szCs w:val="12"/>
        </w:rPr>
      </w:pPr>
      <w:r w:rsidRPr="00AA4F3D">
        <w:rPr>
          <w:sz w:val="14"/>
          <w:szCs w:val="14"/>
          <w:vertAlign w:val="superscript"/>
        </w:rPr>
        <w:footnoteRef/>
      </w:r>
      <w:r>
        <w:rPr>
          <w:sz w:val="14"/>
          <w:szCs w:val="14"/>
        </w:rPr>
        <w:t xml:space="preserve"> Estimation au 30/09/</w:t>
      </w:r>
      <w:r w:rsidRPr="00AA4F3D">
        <w:rPr>
          <w:sz w:val="14"/>
          <w:szCs w:val="14"/>
        </w:rPr>
        <w:t>2014 selon les règles de l’Acte délégué publié par le Commission Européenne le 10/10/2014</w:t>
      </w:r>
      <w:r>
        <w:rPr>
          <w:sz w:val="14"/>
          <w:szCs w:val="14"/>
        </w:rPr>
        <w:t>.</w:t>
      </w:r>
    </w:p>
  </w:footnote>
  <w:footnote w:id="13">
    <w:p w:rsidR="005D0707" w:rsidRPr="00A63CC7" w:rsidRDefault="005D0707" w:rsidP="00D21E6D">
      <w:pPr>
        <w:pStyle w:val="Notedebasdepage"/>
        <w:spacing w:line="240" w:lineRule="auto"/>
        <w:rPr>
          <w:sz w:val="14"/>
          <w:szCs w:val="14"/>
        </w:rPr>
      </w:pPr>
      <w:r w:rsidRPr="00A63CC7">
        <w:rPr>
          <w:sz w:val="14"/>
          <w:szCs w:val="14"/>
          <w:vertAlign w:val="superscript"/>
        </w:rPr>
        <w:footnoteRef/>
      </w:r>
      <w:r w:rsidRPr="00A63CC7">
        <w:rPr>
          <w:sz w:val="14"/>
          <w:szCs w:val="14"/>
        </w:rPr>
        <w:t xml:space="preserve"> Hors SCF (Compagnie de Financement Foncier, socié</w:t>
      </w:r>
      <w:r>
        <w:rPr>
          <w:sz w:val="14"/>
          <w:szCs w:val="14"/>
        </w:rPr>
        <w:t>té de crédit foncier du groupe).</w:t>
      </w:r>
    </w:p>
  </w:footnote>
  <w:footnote w:id="14">
    <w:p w:rsidR="005D0707" w:rsidRPr="009A2219" w:rsidRDefault="005D0707" w:rsidP="00D21E6D">
      <w:pPr>
        <w:pStyle w:val="Notedebasdepage"/>
        <w:spacing w:line="240" w:lineRule="auto"/>
      </w:pPr>
      <w:r w:rsidRPr="009A2219">
        <w:rPr>
          <w:rStyle w:val="Appelnotedebasdep"/>
          <w:sz w:val="14"/>
          <w:szCs w:val="14"/>
        </w:rPr>
        <w:footnoteRef/>
      </w:r>
      <w:r w:rsidRPr="009A2219">
        <w:rPr>
          <w:rStyle w:val="Appelnotedebasdep"/>
          <w:sz w:val="14"/>
          <w:szCs w:val="14"/>
        </w:rPr>
        <w:t xml:space="preserve"> </w:t>
      </w:r>
      <w:r w:rsidRPr="009A2219">
        <w:rPr>
          <w:sz w:val="14"/>
          <w:szCs w:val="14"/>
          <w:vertAlign w:val="superscript"/>
        </w:rPr>
        <w:t xml:space="preserve"> </w:t>
      </w:r>
      <w:r w:rsidRPr="009A2219">
        <w:rPr>
          <w:rStyle w:val="Appelnotedebasdep"/>
          <w:sz w:val="14"/>
          <w:szCs w:val="14"/>
          <w:vertAlign w:val="baseline"/>
        </w:rPr>
        <w:t>Selon l’interprétation par le Groupe BPCE des dernières normes Bâle 3 connues</w:t>
      </w:r>
      <w:r>
        <w:rPr>
          <w:sz w:val="14"/>
          <w:szCs w:val="14"/>
        </w:rPr>
        <w:t>.</w:t>
      </w:r>
    </w:p>
  </w:footnote>
  <w:footnote w:id="15">
    <w:p w:rsidR="005D0707" w:rsidRPr="00E76520" w:rsidRDefault="005D0707" w:rsidP="001C6114">
      <w:pPr>
        <w:pStyle w:val="Notedebasdepage"/>
        <w:spacing w:line="240" w:lineRule="auto"/>
        <w:ind w:left="168" w:hanging="168"/>
        <w:rPr>
          <w:spacing w:val="-2"/>
          <w:sz w:val="14"/>
          <w:szCs w:val="14"/>
        </w:rPr>
      </w:pPr>
      <w:r w:rsidRPr="00E76520">
        <w:rPr>
          <w:rStyle w:val="Appelnotedebasdep"/>
          <w:spacing w:val="-2"/>
          <w:sz w:val="14"/>
          <w:szCs w:val="14"/>
        </w:rPr>
        <w:footnoteRef/>
      </w:r>
      <w:r w:rsidRPr="00E76520">
        <w:rPr>
          <w:spacing w:val="-2"/>
          <w:sz w:val="14"/>
          <w:szCs w:val="14"/>
          <w:vertAlign w:val="superscript"/>
        </w:rPr>
        <w:t xml:space="preserve">  </w:t>
      </w:r>
      <w:r w:rsidRPr="00E76520">
        <w:rPr>
          <w:spacing w:val="-2"/>
          <w:sz w:val="14"/>
          <w:szCs w:val="14"/>
        </w:rPr>
        <w:t xml:space="preserve">Résultats </w:t>
      </w:r>
      <w:r>
        <w:rPr>
          <w:spacing w:val="-2"/>
          <w:sz w:val="14"/>
          <w:szCs w:val="14"/>
        </w:rPr>
        <w:t xml:space="preserve">T3-13 et 9M-13 </w:t>
      </w:r>
      <w:r w:rsidRPr="00E76520">
        <w:rPr>
          <w:spacing w:val="-2"/>
          <w:sz w:val="14"/>
          <w:szCs w:val="14"/>
        </w:rPr>
        <w:t xml:space="preserve">pro forma du transfert de BPCE Assurances à Natixis </w:t>
      </w:r>
      <w:r>
        <w:rPr>
          <w:spacing w:val="-2"/>
          <w:sz w:val="14"/>
          <w:szCs w:val="14"/>
        </w:rPr>
        <w:t>Assurances et</w:t>
      </w:r>
      <w:r w:rsidRPr="00E76520">
        <w:rPr>
          <w:spacing w:val="-2"/>
          <w:sz w:val="14"/>
          <w:szCs w:val="14"/>
          <w:vertAlign w:val="superscript"/>
        </w:rPr>
        <w:t xml:space="preserve"> </w:t>
      </w:r>
      <w:r w:rsidRPr="00E76520">
        <w:rPr>
          <w:rStyle w:val="Appelnotedebasdep"/>
          <w:spacing w:val="-2"/>
          <w:sz w:val="14"/>
          <w:szCs w:val="14"/>
          <w:vertAlign w:val="baseline"/>
        </w:rPr>
        <w:t>du rachat (suivi de l</w:t>
      </w:r>
      <w:r>
        <w:rPr>
          <w:rStyle w:val="Appelnotedebasdep"/>
          <w:spacing w:val="-2"/>
          <w:sz w:val="14"/>
          <w:szCs w:val="14"/>
          <w:vertAlign w:val="baseline"/>
        </w:rPr>
        <w:t xml:space="preserve">eur annulation) par les Banques </w:t>
      </w:r>
      <w:r w:rsidRPr="00E76520">
        <w:rPr>
          <w:rStyle w:val="Appelnotedebasdep"/>
          <w:spacing w:val="-2"/>
          <w:sz w:val="14"/>
          <w:szCs w:val="14"/>
          <w:vertAlign w:val="baseline"/>
        </w:rPr>
        <w:t xml:space="preserve">Populaires et les Caisses d’Epargne des certificats coopératifs d’investissement </w:t>
      </w:r>
      <w:r w:rsidRPr="00E76520">
        <w:rPr>
          <w:spacing w:val="-2"/>
          <w:sz w:val="14"/>
          <w:szCs w:val="14"/>
        </w:rPr>
        <w:t>(CCI</w:t>
      </w:r>
      <w:proofErr w:type="gramStart"/>
      <w:r w:rsidRPr="00E76520">
        <w:rPr>
          <w:spacing w:val="-2"/>
          <w:sz w:val="14"/>
          <w:szCs w:val="14"/>
        </w:rPr>
        <w:t xml:space="preserve">) </w:t>
      </w:r>
      <w:proofErr w:type="gramEnd"/>
      <w:r w:rsidRPr="00E76520">
        <w:rPr>
          <w:rStyle w:val="Appelnotedebasdep"/>
          <w:spacing w:val="-2"/>
          <w:sz w:val="14"/>
          <w:szCs w:val="14"/>
          <w:vertAlign w:val="baseline"/>
        </w:rPr>
        <w:t>détenus par Natixis</w:t>
      </w:r>
      <w:r>
        <w:rPr>
          <w:spacing w:val="-2"/>
          <w:sz w:val="14"/>
          <w:szCs w:val="14"/>
        </w:rPr>
        <w:t>.</w:t>
      </w:r>
    </w:p>
  </w:footnote>
  <w:footnote w:id="16">
    <w:p w:rsidR="005D0707" w:rsidRDefault="005D0707" w:rsidP="001C6114">
      <w:pPr>
        <w:pStyle w:val="Notedebasdepage"/>
        <w:spacing w:line="240" w:lineRule="auto"/>
      </w:pPr>
      <w:r w:rsidRPr="001C6114">
        <w:rPr>
          <w:rStyle w:val="Appelnotedebasdep"/>
          <w:spacing w:val="-2"/>
          <w:sz w:val="14"/>
          <w:szCs w:val="14"/>
        </w:rPr>
        <w:footnoteRef/>
      </w:r>
      <w:r>
        <w:t xml:space="preserve"> </w:t>
      </w:r>
      <w:r w:rsidRPr="001C6114">
        <w:rPr>
          <w:rStyle w:val="Appelnotedebasdep"/>
          <w:spacing w:val="-2"/>
          <w:sz w:val="14"/>
          <w:szCs w:val="14"/>
          <w:vertAlign w:val="baseline"/>
        </w:rPr>
        <w:t>Hors épargne centralisée</w:t>
      </w:r>
      <w:r>
        <w:rPr>
          <w:spacing w:val="-2"/>
          <w:sz w:val="14"/>
          <w:szCs w:val="14"/>
        </w:rPr>
        <w:t>.</w:t>
      </w:r>
    </w:p>
  </w:footnote>
  <w:footnote w:id="17">
    <w:p w:rsidR="005D0707" w:rsidRDefault="005D0707" w:rsidP="00027C41">
      <w:pPr>
        <w:pStyle w:val="Notedebasdepage"/>
        <w:spacing w:line="240" w:lineRule="auto"/>
      </w:pPr>
      <w:r w:rsidRPr="00A44E53">
        <w:rPr>
          <w:rStyle w:val="Appelnotedebasdep"/>
          <w:spacing w:val="-2"/>
          <w:sz w:val="14"/>
          <w:szCs w:val="14"/>
        </w:rPr>
        <w:footnoteRef/>
      </w:r>
      <w:r w:rsidRPr="00A44E53">
        <w:rPr>
          <w:rStyle w:val="Appelnotedebasdep"/>
          <w:spacing w:val="-2"/>
          <w:sz w:val="14"/>
          <w:szCs w:val="14"/>
        </w:rPr>
        <w:t xml:space="preserve"> </w:t>
      </w:r>
      <w:r>
        <w:rPr>
          <w:rStyle w:val="Appelnotedebasdep"/>
          <w:spacing w:val="-2"/>
          <w:sz w:val="14"/>
          <w:szCs w:val="14"/>
        </w:rPr>
        <w:t xml:space="preserve"> </w:t>
      </w:r>
      <w:r w:rsidRPr="00A44E53">
        <w:rPr>
          <w:spacing w:val="-2"/>
          <w:sz w:val="14"/>
          <w:szCs w:val="14"/>
        </w:rPr>
        <w:t xml:space="preserve">Hors </w:t>
      </w:r>
      <w:r>
        <w:rPr>
          <w:spacing w:val="-2"/>
          <w:sz w:val="14"/>
          <w:szCs w:val="14"/>
        </w:rPr>
        <w:t xml:space="preserve">variation de la </w:t>
      </w:r>
      <w:r w:rsidRPr="00A44E53">
        <w:rPr>
          <w:spacing w:val="-2"/>
          <w:sz w:val="14"/>
          <w:szCs w:val="14"/>
        </w:rPr>
        <w:t>provision épargne logement</w:t>
      </w:r>
      <w:r>
        <w:rPr>
          <w:spacing w:val="-2"/>
          <w:sz w:val="14"/>
          <w:szCs w:val="14"/>
        </w:rPr>
        <w:t>.</w:t>
      </w:r>
    </w:p>
  </w:footnote>
  <w:footnote w:id="18">
    <w:p w:rsidR="005D0707" w:rsidRPr="00A9739C" w:rsidRDefault="005D0707" w:rsidP="00D8707E">
      <w:pPr>
        <w:pStyle w:val="Notedebasdepage"/>
        <w:spacing w:line="240" w:lineRule="auto"/>
        <w:ind w:left="142" w:hanging="142"/>
        <w:rPr>
          <w:sz w:val="14"/>
          <w:szCs w:val="14"/>
        </w:rPr>
      </w:pPr>
      <w:r w:rsidRPr="00A9739C">
        <w:rPr>
          <w:rStyle w:val="Appelnotedebasdep"/>
          <w:sz w:val="14"/>
          <w:szCs w:val="14"/>
        </w:rPr>
        <w:footnoteRef/>
      </w:r>
      <w:r>
        <w:rPr>
          <w:sz w:val="14"/>
          <w:szCs w:val="14"/>
        </w:rPr>
        <w:t xml:space="preserve"> Contributions et v</w:t>
      </w:r>
      <w:r w:rsidRPr="00A9739C">
        <w:rPr>
          <w:sz w:val="14"/>
          <w:szCs w:val="14"/>
        </w:rPr>
        <w:t>ariations exprimées après retraitement de l’impact des normes IFRS 10 et IFRS 11 sur le périmètre de consolidation du Groupe Crédit Coopératif</w:t>
      </w:r>
      <w:r>
        <w:rPr>
          <w:sz w:val="14"/>
          <w:szCs w:val="14"/>
        </w:rPr>
        <w:t>.</w:t>
      </w:r>
    </w:p>
  </w:footnote>
  <w:footnote w:id="19">
    <w:p w:rsidR="005D0707" w:rsidRPr="009B0D44" w:rsidRDefault="005D0707" w:rsidP="007467DA">
      <w:pPr>
        <w:pStyle w:val="Notedebasdepage"/>
        <w:spacing w:line="240" w:lineRule="auto"/>
        <w:rPr>
          <w:sz w:val="14"/>
          <w:szCs w:val="14"/>
        </w:rPr>
      </w:pPr>
      <w:r w:rsidRPr="009B0D44">
        <w:rPr>
          <w:rStyle w:val="Appelnotedebasdep"/>
          <w:sz w:val="14"/>
          <w:szCs w:val="14"/>
        </w:rPr>
        <w:footnoteRef/>
      </w:r>
      <w:r w:rsidRPr="009B0D44">
        <w:rPr>
          <w:sz w:val="14"/>
          <w:szCs w:val="14"/>
        </w:rPr>
        <w:t xml:space="preserve"> </w:t>
      </w:r>
      <w:r w:rsidRPr="0040267C">
        <w:rPr>
          <w:sz w:val="14"/>
          <w:szCs w:val="14"/>
        </w:rPr>
        <w:t>Encours de gestion</w:t>
      </w:r>
      <w:r>
        <w:rPr>
          <w:sz w:val="14"/>
          <w:szCs w:val="14"/>
        </w:rPr>
        <w:t>.</w:t>
      </w:r>
    </w:p>
  </w:footnote>
  <w:footnote w:id="20">
    <w:p w:rsidR="005D0707" w:rsidRDefault="005D0707" w:rsidP="007467DA">
      <w:pPr>
        <w:pStyle w:val="Notedebasdepage"/>
        <w:spacing w:line="240" w:lineRule="auto"/>
      </w:pPr>
      <w:r w:rsidRPr="007467DA">
        <w:rPr>
          <w:rStyle w:val="Appelnotedebasdep"/>
          <w:sz w:val="14"/>
          <w:szCs w:val="14"/>
        </w:rPr>
        <w:footnoteRef/>
      </w:r>
      <w:r>
        <w:t xml:space="preserve"> </w:t>
      </w:r>
      <w:r w:rsidRPr="007467DA">
        <w:rPr>
          <w:sz w:val="14"/>
          <w:szCs w:val="14"/>
        </w:rPr>
        <w:t>Données SGFGAS</w:t>
      </w:r>
      <w:r>
        <w:rPr>
          <w:sz w:val="14"/>
          <w:szCs w:val="14"/>
        </w:rPr>
        <w:t xml:space="preserve"> au 15/09/2014.</w:t>
      </w:r>
    </w:p>
  </w:footnote>
  <w:footnote w:id="21">
    <w:p w:rsidR="005D0707" w:rsidRDefault="005D0707" w:rsidP="007467DA">
      <w:pPr>
        <w:pStyle w:val="Notedebasdepage"/>
        <w:spacing w:line="240" w:lineRule="auto"/>
      </w:pPr>
      <w:r w:rsidRPr="007467DA">
        <w:rPr>
          <w:rStyle w:val="Appelnotedebasdep"/>
          <w:sz w:val="14"/>
          <w:szCs w:val="14"/>
        </w:rPr>
        <w:footnoteRef/>
      </w:r>
      <w:r>
        <w:t xml:space="preserve"> </w:t>
      </w:r>
      <w:r w:rsidRPr="007467DA">
        <w:rPr>
          <w:sz w:val="14"/>
          <w:szCs w:val="14"/>
        </w:rPr>
        <w:t>Données SGFGAS au 30/06/2014</w:t>
      </w:r>
      <w:r>
        <w:rPr>
          <w:sz w:val="14"/>
          <w:szCs w:val="14"/>
        </w:rPr>
        <w:t>.</w:t>
      </w:r>
    </w:p>
  </w:footnote>
  <w:footnote w:id="22">
    <w:p w:rsidR="005D0707" w:rsidRDefault="005D0707">
      <w:pPr>
        <w:pStyle w:val="Notedebasdepage"/>
      </w:pPr>
      <w:r w:rsidRPr="00481D1B">
        <w:rPr>
          <w:rStyle w:val="Appelnotedebasdep"/>
          <w:sz w:val="14"/>
          <w:szCs w:val="14"/>
        </w:rPr>
        <w:footnoteRef/>
      </w:r>
      <w:r>
        <w:t xml:space="preserve"> </w:t>
      </w:r>
      <w:r w:rsidRPr="00792FE5">
        <w:rPr>
          <w:sz w:val="14"/>
        </w:rPr>
        <w:t xml:space="preserve">Encours 2013 retraités suite à la cession de BCP </w:t>
      </w:r>
      <w:r>
        <w:rPr>
          <w:sz w:val="14"/>
        </w:rPr>
        <w:t>Luxembourg.</w:t>
      </w:r>
    </w:p>
  </w:footnote>
  <w:footnote w:id="23">
    <w:p w:rsidR="005D0707" w:rsidRDefault="005D0707" w:rsidP="006D493D">
      <w:pPr>
        <w:pStyle w:val="Notedebasdepage"/>
        <w:spacing w:line="240" w:lineRule="auto"/>
      </w:pPr>
      <w:r w:rsidRPr="00240E64">
        <w:rPr>
          <w:rStyle w:val="Appelnotedebasdep"/>
          <w:sz w:val="14"/>
        </w:rPr>
        <w:footnoteRef/>
      </w:r>
      <w:r>
        <w:t xml:space="preserve"> </w:t>
      </w:r>
      <w:r w:rsidRPr="00240E64">
        <w:rPr>
          <w:sz w:val="14"/>
        </w:rPr>
        <w:t>Encours moyens trimestriels</w:t>
      </w:r>
      <w:r>
        <w:rPr>
          <w:sz w:val="14"/>
        </w:rPr>
        <w:t>.</w:t>
      </w:r>
    </w:p>
  </w:footnote>
  <w:footnote w:id="24">
    <w:p w:rsidR="005D0707" w:rsidRPr="00E45CCF" w:rsidRDefault="005D0707" w:rsidP="00950322">
      <w:pPr>
        <w:pStyle w:val="Notedebasdepage"/>
        <w:tabs>
          <w:tab w:val="left" w:pos="142"/>
        </w:tabs>
        <w:spacing w:line="240" w:lineRule="auto"/>
        <w:rPr>
          <w:sz w:val="14"/>
          <w:szCs w:val="14"/>
        </w:rPr>
      </w:pPr>
      <w:r w:rsidRPr="00E45CCF">
        <w:rPr>
          <w:rStyle w:val="Appelnotedebasdep"/>
          <w:sz w:val="14"/>
          <w:szCs w:val="14"/>
        </w:rPr>
        <w:footnoteRef/>
      </w:r>
      <w:r w:rsidRPr="00E45CCF">
        <w:rPr>
          <w:sz w:val="14"/>
          <w:szCs w:val="14"/>
        </w:rPr>
        <w:t xml:space="preserve"> Les résultats contributifs au Groupe BPCE sont différe</w:t>
      </w:r>
      <w:r>
        <w:rPr>
          <w:sz w:val="14"/>
          <w:szCs w:val="14"/>
        </w:rPr>
        <w:t>nts de ceux publiés par Natixis.</w:t>
      </w:r>
    </w:p>
  </w:footnote>
  <w:footnote w:id="25">
    <w:p w:rsidR="005D0707" w:rsidRPr="00A9739C" w:rsidRDefault="005D0707" w:rsidP="00950322">
      <w:pPr>
        <w:pStyle w:val="Notedebasdepage"/>
        <w:tabs>
          <w:tab w:val="left" w:pos="142"/>
        </w:tabs>
        <w:spacing w:line="240" w:lineRule="auto"/>
        <w:jc w:val="both"/>
        <w:rPr>
          <w:sz w:val="14"/>
        </w:rPr>
      </w:pPr>
      <w:r w:rsidRPr="00A9739C">
        <w:rPr>
          <w:rStyle w:val="Appelnotedebasdep"/>
          <w:sz w:val="14"/>
        </w:rPr>
        <w:footnoteRef/>
      </w:r>
      <w:r w:rsidRPr="00A9739C">
        <w:rPr>
          <w:rStyle w:val="Appelnotedebasdep"/>
        </w:rPr>
        <w:t xml:space="preserve"> </w:t>
      </w:r>
      <w:r w:rsidRPr="00A9739C">
        <w:rPr>
          <w:sz w:val="14"/>
        </w:rPr>
        <w:t xml:space="preserve">Résultats T3-13 et </w:t>
      </w:r>
      <w:proofErr w:type="gramStart"/>
      <w:r w:rsidRPr="00A9739C">
        <w:rPr>
          <w:sz w:val="14"/>
        </w:rPr>
        <w:t>9M-13 pro</w:t>
      </w:r>
      <w:proofErr w:type="gramEnd"/>
      <w:r w:rsidRPr="00A9739C">
        <w:rPr>
          <w:sz w:val="14"/>
        </w:rPr>
        <w:t xml:space="preserve"> forma du transfert de BPCE Assurances à Natixis Assurances et du rachat (suivi de leur annulation) </w:t>
      </w:r>
      <w:r w:rsidRPr="00201E7C">
        <w:rPr>
          <w:sz w:val="14"/>
        </w:rPr>
        <w:t>par</w:t>
      </w:r>
      <w:r>
        <w:rPr>
          <w:sz w:val="14"/>
        </w:rPr>
        <w:t xml:space="preserve"> </w:t>
      </w:r>
      <w:r>
        <w:rPr>
          <w:sz w:val="14"/>
        </w:rPr>
        <w:tab/>
      </w:r>
      <w:r w:rsidRPr="00A9739C">
        <w:rPr>
          <w:sz w:val="14"/>
        </w:rPr>
        <w:t>les</w:t>
      </w:r>
      <w:r>
        <w:rPr>
          <w:sz w:val="14"/>
        </w:rPr>
        <w:t xml:space="preserve"> </w:t>
      </w:r>
      <w:r w:rsidRPr="00A9739C">
        <w:rPr>
          <w:sz w:val="14"/>
        </w:rPr>
        <w:t>Banques Populaires et les Caisses d’Epargne des certificats coopératifs d’investissements (CCI) détenus par Natixis</w:t>
      </w:r>
      <w:r>
        <w:rPr>
          <w:sz w:val="14"/>
        </w:rPr>
        <w:t>.</w:t>
      </w:r>
    </w:p>
  </w:footnote>
  <w:footnote w:id="26">
    <w:p w:rsidR="005D0707" w:rsidRDefault="005D0707" w:rsidP="00950322">
      <w:pPr>
        <w:pStyle w:val="Notedebasdepage"/>
        <w:tabs>
          <w:tab w:val="left" w:pos="142"/>
        </w:tabs>
        <w:spacing w:line="240" w:lineRule="auto"/>
        <w:jc w:val="both"/>
      </w:pPr>
      <w:r w:rsidRPr="00A9739C">
        <w:rPr>
          <w:rStyle w:val="Appelnotedebasdep"/>
          <w:sz w:val="14"/>
        </w:rPr>
        <w:footnoteRef/>
      </w:r>
      <w:r>
        <w:tab/>
      </w:r>
      <w:r w:rsidRPr="00E45CCF">
        <w:rPr>
          <w:sz w:val="14"/>
          <w:szCs w:val="14"/>
        </w:rPr>
        <w:t>Données présentées hors éléments exceptionnels : première application de IFRS 13</w:t>
      </w:r>
      <w:r>
        <w:rPr>
          <w:sz w:val="14"/>
          <w:szCs w:val="14"/>
        </w:rPr>
        <w:t xml:space="preserve"> (+ 72 M€ sur</w:t>
      </w:r>
      <w:r w:rsidRPr="00E45CCF">
        <w:rPr>
          <w:sz w:val="14"/>
          <w:szCs w:val="14"/>
        </w:rPr>
        <w:t xml:space="preserve"> 9M-13) et évolutions </w:t>
      </w:r>
      <w:r>
        <w:rPr>
          <w:sz w:val="14"/>
          <w:szCs w:val="14"/>
        </w:rPr>
        <w:tab/>
      </w:r>
      <w:r w:rsidRPr="00E45CCF">
        <w:rPr>
          <w:sz w:val="14"/>
          <w:szCs w:val="14"/>
        </w:rPr>
        <w:t>méthodolo</w:t>
      </w:r>
      <w:r>
        <w:rPr>
          <w:sz w:val="14"/>
          <w:szCs w:val="14"/>
        </w:rPr>
        <w:t>giques liées (- 37 M€ sur 9M-14).</w:t>
      </w:r>
    </w:p>
  </w:footnote>
  <w:footnote w:id="27">
    <w:p w:rsidR="005D0707" w:rsidRPr="00841A68" w:rsidRDefault="005D0707" w:rsidP="00950322">
      <w:pPr>
        <w:pStyle w:val="Notedebasdepage"/>
        <w:spacing w:line="240" w:lineRule="auto"/>
        <w:ind w:left="142" w:hanging="140"/>
      </w:pPr>
      <w:r w:rsidRPr="00841A68">
        <w:rPr>
          <w:rStyle w:val="Appelnotedebasdep"/>
          <w:sz w:val="14"/>
          <w:szCs w:val="14"/>
        </w:rPr>
        <w:footnoteRef/>
      </w:r>
      <w:r w:rsidRPr="00841A68">
        <w:rPr>
          <w:sz w:val="14"/>
          <w:szCs w:val="14"/>
        </w:rPr>
        <w:t xml:space="preserve"> Le pôle Participations financières comprend les participations dans Coface, </w:t>
      </w:r>
      <w:proofErr w:type="spellStart"/>
      <w:r w:rsidRPr="00841A68">
        <w:rPr>
          <w:sz w:val="14"/>
          <w:szCs w:val="14"/>
        </w:rPr>
        <w:t>Nexity</w:t>
      </w:r>
      <w:proofErr w:type="spellEnd"/>
      <w:r w:rsidRPr="00841A68">
        <w:rPr>
          <w:sz w:val="14"/>
          <w:szCs w:val="14"/>
        </w:rPr>
        <w:t xml:space="preserve"> et </w:t>
      </w:r>
      <w:proofErr w:type="spellStart"/>
      <w:r w:rsidRPr="00841A68">
        <w:rPr>
          <w:sz w:val="14"/>
          <w:szCs w:val="14"/>
        </w:rPr>
        <w:t>Volksbank</w:t>
      </w:r>
      <w:proofErr w:type="spellEnd"/>
      <w:r w:rsidRPr="00841A68">
        <w:rPr>
          <w:sz w:val="14"/>
          <w:szCs w:val="14"/>
        </w:rPr>
        <w:t xml:space="preserve"> Romania ainsi que les activités de </w:t>
      </w:r>
      <w:proofErr w:type="spellStart"/>
      <w:r w:rsidRPr="00841A68">
        <w:rPr>
          <w:sz w:val="14"/>
          <w:szCs w:val="14"/>
        </w:rPr>
        <w:t>Private</w:t>
      </w:r>
      <w:proofErr w:type="spellEnd"/>
      <w:r w:rsidRPr="00841A68">
        <w:rPr>
          <w:sz w:val="14"/>
          <w:szCs w:val="14"/>
        </w:rPr>
        <w:t xml:space="preserve"> </w:t>
      </w:r>
      <w:proofErr w:type="spellStart"/>
      <w:r w:rsidRPr="00841A68">
        <w:rPr>
          <w:sz w:val="14"/>
          <w:szCs w:val="14"/>
        </w:rPr>
        <w:t>Equity</w:t>
      </w:r>
      <w:proofErr w:type="spellEnd"/>
      <w:r w:rsidRPr="00841A68">
        <w:rPr>
          <w:sz w:val="14"/>
          <w:szCs w:val="14"/>
        </w:rPr>
        <w:t xml:space="preserve"> de Natixis</w:t>
      </w:r>
      <w:r>
        <w:rPr>
          <w:sz w:val="14"/>
          <w:szCs w:val="14"/>
        </w:rPr>
        <w:t>.</w:t>
      </w:r>
    </w:p>
  </w:footnote>
  <w:footnote w:id="28">
    <w:p w:rsidR="005D0707" w:rsidRPr="00841A68" w:rsidRDefault="005D0707" w:rsidP="00950322">
      <w:pPr>
        <w:pStyle w:val="Notedebasdepage"/>
        <w:spacing w:line="240" w:lineRule="auto"/>
        <w:ind w:left="142" w:hanging="140"/>
      </w:pPr>
      <w:r w:rsidRPr="00841A68">
        <w:rPr>
          <w:rStyle w:val="Appelnotedebasdep"/>
          <w:sz w:val="14"/>
          <w:szCs w:val="14"/>
        </w:rPr>
        <w:footnoteRef/>
      </w:r>
      <w:r w:rsidRPr="00841A68">
        <w:rPr>
          <w:rStyle w:val="Appelnotedebasdep"/>
          <w:sz w:val="14"/>
          <w:szCs w:val="14"/>
        </w:rPr>
        <w:t xml:space="preserve"> </w:t>
      </w:r>
      <w:r w:rsidRPr="00841A68">
        <w:rPr>
          <w:sz w:val="14"/>
          <w:szCs w:val="14"/>
        </w:rPr>
        <w:t>Périmètre et change constants</w:t>
      </w:r>
      <w:r>
        <w:rPr>
          <w:sz w:val="14"/>
          <w:szCs w:val="14"/>
        </w:rPr>
        <w:t>.</w:t>
      </w:r>
    </w:p>
  </w:footnote>
  <w:footnote w:id="29">
    <w:p w:rsidR="005D0707" w:rsidRDefault="005D0707" w:rsidP="00950322">
      <w:pPr>
        <w:pStyle w:val="Notedebasdepage"/>
        <w:spacing w:line="240" w:lineRule="auto"/>
        <w:ind w:left="142" w:hanging="140"/>
      </w:pPr>
      <w:r w:rsidRPr="00841A68">
        <w:rPr>
          <w:rStyle w:val="Appelnotedebasdep"/>
          <w:sz w:val="14"/>
        </w:rPr>
        <w:footnoteRef/>
      </w:r>
      <w:r>
        <w:rPr>
          <w:sz w:val="14"/>
        </w:rPr>
        <w:tab/>
      </w:r>
      <w:r w:rsidRPr="00841A68">
        <w:rPr>
          <w:sz w:val="14"/>
        </w:rPr>
        <w:t xml:space="preserve">Pro forma réalisé sur le </w:t>
      </w:r>
      <w:proofErr w:type="spellStart"/>
      <w:r w:rsidRPr="00841A68">
        <w:rPr>
          <w:sz w:val="14"/>
        </w:rPr>
        <w:t>loss</w:t>
      </w:r>
      <w:proofErr w:type="spellEnd"/>
      <w:r w:rsidRPr="00841A68">
        <w:rPr>
          <w:sz w:val="14"/>
        </w:rPr>
        <w:t xml:space="preserve"> ratio : les participations bénéficiaires sont imputées sur les primes (chiffres d’affaires) et non plus incluses avec les charges de sinistres ; pro forma réalisé sur le </w:t>
      </w:r>
      <w:proofErr w:type="spellStart"/>
      <w:r w:rsidRPr="00841A68">
        <w:rPr>
          <w:sz w:val="14"/>
        </w:rPr>
        <w:t>cost</w:t>
      </w:r>
      <w:proofErr w:type="spellEnd"/>
      <w:r w:rsidRPr="00841A68">
        <w:rPr>
          <w:sz w:val="14"/>
        </w:rPr>
        <w:t xml:space="preserve"> ratio : la CVAE est retirée des charges de gestion de l’assura</w:t>
      </w:r>
      <w:r>
        <w:rPr>
          <w:sz w:val="14"/>
        </w:rPr>
        <w:t>nce et imputée sur l’imposition.</w:t>
      </w:r>
    </w:p>
  </w:footnote>
  <w:footnote w:id="30">
    <w:p w:rsidR="005D0707" w:rsidRDefault="005D0707" w:rsidP="00950322">
      <w:pPr>
        <w:pStyle w:val="Notedebasdepage"/>
        <w:spacing w:line="240" w:lineRule="auto"/>
        <w:ind w:left="142" w:hanging="140"/>
      </w:pPr>
      <w:r w:rsidRPr="00AA75D8">
        <w:rPr>
          <w:rStyle w:val="Appelnotedebasdep"/>
          <w:sz w:val="14"/>
          <w:szCs w:val="14"/>
        </w:rPr>
        <w:footnoteRef/>
      </w:r>
      <w:r w:rsidRPr="00AA75D8">
        <w:rPr>
          <w:rStyle w:val="Appelnotedebasdep"/>
          <w:sz w:val="14"/>
          <w:szCs w:val="14"/>
        </w:rPr>
        <w:t xml:space="preserve"> </w:t>
      </w:r>
      <w:r w:rsidRPr="00AA75D8">
        <w:rPr>
          <w:sz w:val="14"/>
        </w:rPr>
        <w:t xml:space="preserve">Données financières issues du </w:t>
      </w:r>
      <w:proofErr w:type="spellStart"/>
      <w:r w:rsidRPr="00AA75D8">
        <w:rPr>
          <w:sz w:val="14"/>
        </w:rPr>
        <w:t>reporting</w:t>
      </w:r>
      <w:proofErr w:type="spellEnd"/>
      <w:r w:rsidRPr="00AA75D8">
        <w:rPr>
          <w:sz w:val="14"/>
        </w:rPr>
        <w:t xml:space="preserve"> opérationnel de </w:t>
      </w:r>
      <w:proofErr w:type="spellStart"/>
      <w:r w:rsidRPr="00AA75D8">
        <w:rPr>
          <w:sz w:val="14"/>
        </w:rPr>
        <w:t>Nexity</w:t>
      </w:r>
      <w:proofErr w:type="spellEnd"/>
      <w:r>
        <w:rPr>
          <w:sz w:val="1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707" w:rsidRDefault="005D070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707" w:rsidRDefault="005D0707" w:rsidP="0027625E">
    <w:pPr>
      <w:pStyle w:val="En-tte"/>
      <w:tabs>
        <w:tab w:val="clear" w:pos="4536"/>
        <w:tab w:val="clear" w:pos="9072"/>
      </w:tabs>
    </w:pPr>
    <w:r>
      <w:rPr>
        <w:noProof/>
      </w:rPr>
      <w:drawing>
        <wp:inline distT="0" distB="0" distL="0" distR="0">
          <wp:extent cx="1432800" cy="1728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VB_GROUPE_BPCE_1ligne.jpg"/>
                  <pic:cNvPicPr/>
                </pic:nvPicPr>
                <pic:blipFill>
                  <a:blip r:embed="rId1">
                    <a:extLst>
                      <a:ext uri="{28A0092B-C50C-407E-A947-70E740481C1C}">
                        <a14:useLocalDpi xmlns:a14="http://schemas.microsoft.com/office/drawing/2010/main" val="0"/>
                      </a:ext>
                    </a:extLst>
                  </a:blip>
                  <a:stretch>
                    <a:fillRect/>
                  </a:stretch>
                </pic:blipFill>
                <pic:spPr>
                  <a:xfrm>
                    <a:off x="0" y="0"/>
                    <a:ext cx="1432800" cy="172800"/>
                  </a:xfrm>
                  <a:prstGeom prst="rect">
                    <a:avLst/>
                  </a:prstGeom>
                </pic:spPr>
              </pic:pic>
            </a:graphicData>
          </a:graphic>
        </wp:inline>
      </w:drawing>
    </w:r>
  </w:p>
  <w:p w:rsidR="005D0707" w:rsidRDefault="005D0707" w:rsidP="0027625E">
    <w:pPr>
      <w:pStyle w:val="En-tte"/>
      <w:tabs>
        <w:tab w:val="clear" w:pos="4536"/>
        <w:tab w:val="clear" w:pos="9072"/>
      </w:tabs>
    </w:pPr>
  </w:p>
  <w:p w:rsidR="005D0707" w:rsidRDefault="005D0707" w:rsidP="0027625E">
    <w:pPr>
      <w:pStyle w:val="En-tte"/>
      <w:tabs>
        <w:tab w:val="clear" w:pos="4536"/>
        <w:tab w:val="clear" w:pos="9072"/>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707" w:rsidRDefault="005D0707" w:rsidP="00601E7B">
    <w:pPr>
      <w:pStyle w:val="En-tte"/>
      <w:tabs>
        <w:tab w:val="clear" w:pos="4536"/>
        <w:tab w:val="clear" w:pos="9072"/>
      </w:tabs>
    </w:pPr>
    <w:bookmarkStart w:id="14" w:name="_GoBack"/>
    <w:bookmarkEnd w:id="14"/>
    <w:r>
      <w:rPr>
        <w:noProof/>
      </w:rPr>
      <w:drawing>
        <wp:inline distT="0" distB="0" distL="0" distR="0" wp14:anchorId="072A4F6A" wp14:editId="7D35423D">
          <wp:extent cx="3600000" cy="595818"/>
          <wp:effectExtent l="0" t="0" r="63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Groupe-BPCE.jpg"/>
                  <pic:cNvPicPr/>
                </pic:nvPicPr>
                <pic:blipFill>
                  <a:blip r:embed="rId1">
                    <a:extLst>
                      <a:ext uri="{28A0092B-C50C-407E-A947-70E740481C1C}">
                        <a14:useLocalDpi xmlns:a14="http://schemas.microsoft.com/office/drawing/2010/main" val="0"/>
                      </a:ext>
                    </a:extLst>
                  </a:blip>
                  <a:stretch>
                    <a:fillRect/>
                  </a:stretch>
                </pic:blipFill>
                <pic:spPr>
                  <a:xfrm>
                    <a:off x="0" y="0"/>
                    <a:ext cx="3600000" cy="595818"/>
                  </a:xfrm>
                  <a:prstGeom prst="rect">
                    <a:avLst/>
                  </a:prstGeom>
                </pic:spPr>
              </pic:pic>
            </a:graphicData>
          </a:graphic>
        </wp:inline>
      </w:drawing>
    </w:r>
  </w:p>
  <w:p w:rsidR="005D0707" w:rsidRDefault="005D0707" w:rsidP="00601E7B">
    <w:pPr>
      <w:pStyle w:val="En-tte"/>
      <w:tabs>
        <w:tab w:val="clear" w:pos="4536"/>
        <w:tab w:val="clear" w:pos="9072"/>
      </w:tabs>
    </w:pPr>
  </w:p>
  <w:p w:rsidR="005D0707" w:rsidRDefault="005D0707" w:rsidP="00601E7B">
    <w:pPr>
      <w:pStyle w:val="En-tte"/>
      <w:tabs>
        <w:tab w:val="clear" w:pos="4536"/>
        <w:tab w:val="clear" w:pos="9072"/>
      </w:tabs>
    </w:pPr>
  </w:p>
  <w:p w:rsidR="005D0707" w:rsidRDefault="005D0707" w:rsidP="00601E7B">
    <w:pPr>
      <w:pStyle w:val="En-tte"/>
      <w:tabs>
        <w:tab w:val="clear" w:pos="4536"/>
        <w:tab w:val="clear" w:pos="9072"/>
      </w:tabs>
    </w:pPr>
  </w:p>
  <w:p w:rsidR="005D0707" w:rsidRDefault="005D0707" w:rsidP="00601E7B">
    <w:pPr>
      <w:pStyle w:val="En-tte"/>
      <w:tabs>
        <w:tab w:val="clear" w:pos="4536"/>
        <w:tab w:val="clear" w:pos="9072"/>
      </w:tabs>
    </w:pPr>
  </w:p>
  <w:p w:rsidR="005D0707" w:rsidRDefault="005D0707" w:rsidP="00601E7B">
    <w:pPr>
      <w:pStyle w:val="En-tte"/>
      <w:tabs>
        <w:tab w:val="clear" w:pos="4536"/>
        <w:tab w:val="clear" w:pos="9072"/>
      </w:tabs>
    </w:pPr>
  </w:p>
  <w:p w:rsidR="005D0707" w:rsidRDefault="005D0707" w:rsidP="00BC204B">
    <w:pPr>
      <w:pStyle w:val="En-tte"/>
      <w:tabs>
        <w:tab w:val="clear" w:pos="4536"/>
        <w:tab w:val="clear" w:pos="9072"/>
      </w:tabs>
      <w:jc w:val="right"/>
    </w:pPr>
    <w:r w:rsidRPr="00400560">
      <w:rPr>
        <w:noProof/>
      </w:rPr>
      <w:drawing>
        <wp:anchor distT="0" distB="0" distL="114300" distR="114300" simplePos="0" relativeHeight="251658240" behindDoc="0" locked="0" layoutInCell="1" allowOverlap="1" wp14:anchorId="7F3B08DB" wp14:editId="16CFAC94">
          <wp:simplePos x="0" y="0"/>
          <wp:positionH relativeFrom="column">
            <wp:posOffset>2331454</wp:posOffset>
          </wp:positionH>
          <wp:positionV relativeFrom="paragraph">
            <wp:posOffset>-1536</wp:posOffset>
          </wp:positionV>
          <wp:extent cx="3787200" cy="352800"/>
          <wp:effectExtent l="0" t="0" r="3810" b="952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87200" cy="352800"/>
                  </a:xfrm>
                  <a:prstGeom prst="rect">
                    <a:avLst/>
                  </a:prstGeom>
                  <a:noFill/>
                  <a:ln>
                    <a:noFill/>
                  </a:ln>
                </pic:spPr>
              </pic:pic>
            </a:graphicData>
          </a:graphic>
        </wp:anchor>
      </w:drawing>
    </w:r>
  </w:p>
  <w:p w:rsidR="005D0707" w:rsidRDefault="005D0707" w:rsidP="00601E7B">
    <w:pPr>
      <w:pStyle w:val="En-tte"/>
      <w:tabs>
        <w:tab w:val="clear" w:pos="4536"/>
        <w:tab w:val="clear" w:pos="9072"/>
      </w:tabs>
    </w:pPr>
  </w:p>
  <w:p w:rsidR="005D0707" w:rsidRPr="0084390E" w:rsidRDefault="005D0707" w:rsidP="00601E7B">
    <w:pPr>
      <w:pStyle w:val="En-tte"/>
      <w:tabs>
        <w:tab w:val="clear" w:pos="4536"/>
        <w:tab w:val="clear" w:pos="9072"/>
      </w:tabs>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A346D"/>
    <w:multiLevelType w:val="hybridMultilevel"/>
    <w:tmpl w:val="B958ED76"/>
    <w:lvl w:ilvl="0" w:tplc="0BBC7018">
      <w:numFmt w:val="bullet"/>
      <w:lvlText w:val="-"/>
      <w:lvlJc w:val="left"/>
      <w:pPr>
        <w:ind w:left="720" w:hanging="360"/>
      </w:pPr>
      <w:rPr>
        <w:rFonts w:ascii="Verdana" w:eastAsia="Calibri" w:hAnsi="Verdana" w:cs="Calibri" w:hint="default"/>
        <w:color w:val="1F497D"/>
        <w:sz w:val="2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1AB300B3"/>
    <w:multiLevelType w:val="hybridMultilevel"/>
    <w:tmpl w:val="EEB8BE28"/>
    <w:lvl w:ilvl="0" w:tplc="DD00CE74">
      <w:start w:val="1"/>
      <w:numFmt w:val="bullet"/>
      <w:lvlText w:val=""/>
      <w:lvlJc w:val="left"/>
      <w:pPr>
        <w:ind w:left="720" w:hanging="360"/>
      </w:pPr>
      <w:rPr>
        <w:rFonts w:ascii="Wingdings" w:hAnsi="Wingdings" w:hint="default"/>
        <w:b w:val="0"/>
        <w:color w:val="581D74"/>
        <w:sz w:val="16"/>
      </w:rPr>
    </w:lvl>
    <w:lvl w:ilvl="1" w:tplc="151C507E">
      <w:start w:val="1"/>
      <w:numFmt w:val="bullet"/>
      <w:lvlText w:val=""/>
      <w:lvlJc w:val="left"/>
      <w:pPr>
        <w:ind w:left="1440" w:hanging="360"/>
      </w:pPr>
      <w:rPr>
        <w:rFonts w:ascii="Wingdings" w:hAnsi="Wingdings" w:hint="default"/>
        <w:color w:val="F47920" w:themeColor="accent3"/>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1F855EF"/>
    <w:multiLevelType w:val="hybridMultilevel"/>
    <w:tmpl w:val="C520E496"/>
    <w:lvl w:ilvl="0" w:tplc="DD00CE74">
      <w:start w:val="1"/>
      <w:numFmt w:val="bullet"/>
      <w:lvlText w:val=""/>
      <w:lvlJc w:val="left"/>
      <w:pPr>
        <w:ind w:left="720" w:hanging="360"/>
      </w:pPr>
      <w:rPr>
        <w:rFonts w:ascii="Wingdings" w:hAnsi="Wingdings" w:hint="default"/>
        <w:b w:val="0"/>
        <w:color w:val="581D74"/>
        <w:sz w:val="1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30B1665"/>
    <w:multiLevelType w:val="hybridMultilevel"/>
    <w:tmpl w:val="872AD942"/>
    <w:lvl w:ilvl="0" w:tplc="DD00CE74">
      <w:start w:val="1"/>
      <w:numFmt w:val="bullet"/>
      <w:lvlText w:val=""/>
      <w:lvlJc w:val="left"/>
      <w:pPr>
        <w:ind w:left="720" w:hanging="360"/>
      </w:pPr>
      <w:rPr>
        <w:rFonts w:ascii="Wingdings" w:hAnsi="Wingdings" w:hint="default"/>
        <w:b w:val="0"/>
        <w:color w:val="581D74"/>
        <w:sz w:val="16"/>
      </w:rPr>
    </w:lvl>
    <w:lvl w:ilvl="1" w:tplc="BDBECD8C">
      <w:start w:val="1"/>
      <w:numFmt w:val="bullet"/>
      <w:lvlText w:val=""/>
      <w:lvlJc w:val="left"/>
      <w:pPr>
        <w:ind w:left="1440" w:hanging="360"/>
      </w:pPr>
      <w:rPr>
        <w:rFonts w:ascii="Wingdings" w:hAnsi="Wingdings" w:hint="default"/>
        <w:color w:val="A778AE" w:themeColor="accent2"/>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4A7501B"/>
    <w:multiLevelType w:val="hybridMultilevel"/>
    <w:tmpl w:val="C53C01F2"/>
    <w:lvl w:ilvl="0" w:tplc="DD00CE74">
      <w:start w:val="1"/>
      <w:numFmt w:val="bullet"/>
      <w:lvlText w:val=""/>
      <w:lvlJc w:val="left"/>
      <w:pPr>
        <w:ind w:left="720" w:hanging="360"/>
      </w:pPr>
      <w:rPr>
        <w:rFonts w:ascii="Wingdings" w:hAnsi="Wingdings" w:hint="default"/>
        <w:b w:val="0"/>
        <w:color w:val="581D74"/>
        <w:sz w:val="16"/>
      </w:rPr>
    </w:lvl>
    <w:lvl w:ilvl="1" w:tplc="BDBECD8C">
      <w:start w:val="1"/>
      <w:numFmt w:val="bullet"/>
      <w:lvlText w:val=""/>
      <w:lvlJc w:val="left"/>
      <w:pPr>
        <w:ind w:left="1440" w:hanging="360"/>
      </w:pPr>
      <w:rPr>
        <w:rFonts w:ascii="Wingdings" w:hAnsi="Wingdings" w:hint="default"/>
        <w:color w:val="A778AE" w:themeColor="accent2"/>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8A16A0D"/>
    <w:multiLevelType w:val="hybridMultilevel"/>
    <w:tmpl w:val="891A5592"/>
    <w:lvl w:ilvl="0" w:tplc="DD00CE74">
      <w:start w:val="1"/>
      <w:numFmt w:val="bullet"/>
      <w:lvlText w:val=""/>
      <w:lvlJc w:val="left"/>
      <w:pPr>
        <w:ind w:left="720" w:hanging="360"/>
      </w:pPr>
      <w:rPr>
        <w:rFonts w:ascii="Wingdings" w:hAnsi="Wingdings" w:hint="default"/>
        <w:b w:val="0"/>
        <w:color w:val="581D74"/>
        <w:sz w:val="16"/>
      </w:rPr>
    </w:lvl>
    <w:lvl w:ilvl="1" w:tplc="BDBECD8C">
      <w:start w:val="1"/>
      <w:numFmt w:val="bullet"/>
      <w:lvlText w:val=""/>
      <w:lvlJc w:val="left"/>
      <w:pPr>
        <w:ind w:left="1440" w:hanging="360"/>
      </w:pPr>
      <w:rPr>
        <w:rFonts w:ascii="Wingdings" w:hAnsi="Wingdings" w:hint="default"/>
        <w:color w:val="A778AE" w:themeColor="accent2"/>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D710C0A"/>
    <w:multiLevelType w:val="hybridMultilevel"/>
    <w:tmpl w:val="859AD2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15414DB"/>
    <w:multiLevelType w:val="hybridMultilevel"/>
    <w:tmpl w:val="A1047E4C"/>
    <w:lvl w:ilvl="0" w:tplc="90E4F1B2">
      <w:start w:val="1"/>
      <w:numFmt w:val="bullet"/>
      <w:lvlText w:val=""/>
      <w:lvlJc w:val="left"/>
      <w:pPr>
        <w:tabs>
          <w:tab w:val="num" w:pos="720"/>
        </w:tabs>
        <w:ind w:left="720" w:hanging="360"/>
      </w:pPr>
      <w:rPr>
        <w:rFonts w:ascii="Wingdings" w:hAnsi="Wingdings" w:hint="default"/>
      </w:rPr>
    </w:lvl>
    <w:lvl w:ilvl="1" w:tplc="DA6CF456">
      <w:start w:val="1"/>
      <w:numFmt w:val="bullet"/>
      <w:lvlText w:val=""/>
      <w:lvlJc w:val="left"/>
      <w:pPr>
        <w:tabs>
          <w:tab w:val="num" w:pos="1440"/>
        </w:tabs>
        <w:ind w:left="1440" w:hanging="360"/>
      </w:pPr>
      <w:rPr>
        <w:rFonts w:ascii="Wingdings" w:hAnsi="Wingdings" w:hint="default"/>
      </w:rPr>
    </w:lvl>
    <w:lvl w:ilvl="2" w:tplc="258AA38E" w:tentative="1">
      <w:start w:val="1"/>
      <w:numFmt w:val="bullet"/>
      <w:lvlText w:val=""/>
      <w:lvlJc w:val="left"/>
      <w:pPr>
        <w:tabs>
          <w:tab w:val="num" w:pos="2160"/>
        </w:tabs>
        <w:ind w:left="2160" w:hanging="360"/>
      </w:pPr>
      <w:rPr>
        <w:rFonts w:ascii="Wingdings" w:hAnsi="Wingdings" w:hint="default"/>
      </w:rPr>
    </w:lvl>
    <w:lvl w:ilvl="3" w:tplc="EE5A85D2" w:tentative="1">
      <w:start w:val="1"/>
      <w:numFmt w:val="bullet"/>
      <w:lvlText w:val=""/>
      <w:lvlJc w:val="left"/>
      <w:pPr>
        <w:tabs>
          <w:tab w:val="num" w:pos="2880"/>
        </w:tabs>
        <w:ind w:left="2880" w:hanging="360"/>
      </w:pPr>
      <w:rPr>
        <w:rFonts w:ascii="Wingdings" w:hAnsi="Wingdings" w:hint="default"/>
      </w:rPr>
    </w:lvl>
    <w:lvl w:ilvl="4" w:tplc="2B68B382" w:tentative="1">
      <w:start w:val="1"/>
      <w:numFmt w:val="bullet"/>
      <w:lvlText w:val=""/>
      <w:lvlJc w:val="left"/>
      <w:pPr>
        <w:tabs>
          <w:tab w:val="num" w:pos="3600"/>
        </w:tabs>
        <w:ind w:left="3600" w:hanging="360"/>
      </w:pPr>
      <w:rPr>
        <w:rFonts w:ascii="Wingdings" w:hAnsi="Wingdings" w:hint="default"/>
      </w:rPr>
    </w:lvl>
    <w:lvl w:ilvl="5" w:tplc="02DAE4DA" w:tentative="1">
      <w:start w:val="1"/>
      <w:numFmt w:val="bullet"/>
      <w:lvlText w:val=""/>
      <w:lvlJc w:val="left"/>
      <w:pPr>
        <w:tabs>
          <w:tab w:val="num" w:pos="4320"/>
        </w:tabs>
        <w:ind w:left="4320" w:hanging="360"/>
      </w:pPr>
      <w:rPr>
        <w:rFonts w:ascii="Wingdings" w:hAnsi="Wingdings" w:hint="default"/>
      </w:rPr>
    </w:lvl>
    <w:lvl w:ilvl="6" w:tplc="36DAD1F4" w:tentative="1">
      <w:start w:val="1"/>
      <w:numFmt w:val="bullet"/>
      <w:lvlText w:val=""/>
      <w:lvlJc w:val="left"/>
      <w:pPr>
        <w:tabs>
          <w:tab w:val="num" w:pos="5040"/>
        </w:tabs>
        <w:ind w:left="5040" w:hanging="360"/>
      </w:pPr>
      <w:rPr>
        <w:rFonts w:ascii="Wingdings" w:hAnsi="Wingdings" w:hint="default"/>
      </w:rPr>
    </w:lvl>
    <w:lvl w:ilvl="7" w:tplc="1CBA529A" w:tentative="1">
      <w:start w:val="1"/>
      <w:numFmt w:val="bullet"/>
      <w:lvlText w:val=""/>
      <w:lvlJc w:val="left"/>
      <w:pPr>
        <w:tabs>
          <w:tab w:val="num" w:pos="5760"/>
        </w:tabs>
        <w:ind w:left="5760" w:hanging="360"/>
      </w:pPr>
      <w:rPr>
        <w:rFonts w:ascii="Wingdings" w:hAnsi="Wingdings" w:hint="default"/>
      </w:rPr>
    </w:lvl>
    <w:lvl w:ilvl="8" w:tplc="5B8A1B56" w:tentative="1">
      <w:start w:val="1"/>
      <w:numFmt w:val="bullet"/>
      <w:lvlText w:val=""/>
      <w:lvlJc w:val="left"/>
      <w:pPr>
        <w:tabs>
          <w:tab w:val="num" w:pos="6480"/>
        </w:tabs>
        <w:ind w:left="6480" w:hanging="360"/>
      </w:pPr>
      <w:rPr>
        <w:rFonts w:ascii="Wingdings" w:hAnsi="Wingdings" w:hint="default"/>
      </w:rPr>
    </w:lvl>
  </w:abstractNum>
  <w:abstractNum w:abstractNumId="8">
    <w:nsid w:val="32E11B60"/>
    <w:multiLevelType w:val="hybridMultilevel"/>
    <w:tmpl w:val="E6C6FD1C"/>
    <w:lvl w:ilvl="0" w:tplc="040C000D">
      <w:start w:val="1"/>
      <w:numFmt w:val="bullet"/>
      <w:lvlText w:val=""/>
      <w:lvlJc w:val="left"/>
      <w:pPr>
        <w:ind w:left="720" w:hanging="360"/>
      </w:pPr>
      <w:rPr>
        <w:rFonts w:ascii="Wingdings" w:hAnsi="Wingdings" w:hint="default"/>
      </w:rPr>
    </w:lvl>
    <w:lvl w:ilvl="1" w:tplc="151C507E">
      <w:start w:val="1"/>
      <w:numFmt w:val="bullet"/>
      <w:lvlText w:val=""/>
      <w:lvlJc w:val="left"/>
      <w:pPr>
        <w:ind w:left="1440" w:hanging="360"/>
      </w:pPr>
      <w:rPr>
        <w:rFonts w:ascii="Wingdings" w:hAnsi="Wingdings" w:hint="default"/>
        <w:color w:val="F47920" w:themeColor="accent3"/>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53B6904"/>
    <w:multiLevelType w:val="hybridMultilevel"/>
    <w:tmpl w:val="3738CF78"/>
    <w:lvl w:ilvl="0" w:tplc="BFF25736">
      <w:start w:val="1"/>
      <w:numFmt w:val="bullet"/>
      <w:pStyle w:val="6-LISTEPUCE"/>
      <w:lvlText w:val=""/>
      <w:lvlJc w:val="left"/>
      <w:pPr>
        <w:ind w:left="720" w:hanging="360"/>
      </w:pPr>
      <w:rPr>
        <w:rFonts w:ascii="Symbol" w:hAnsi="Symbol" w:hint="default"/>
        <w:color w:val="581D74"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67F6A45"/>
    <w:multiLevelType w:val="multilevel"/>
    <w:tmpl w:val="BF827EB6"/>
    <w:lvl w:ilvl="0">
      <w:start w:val="1"/>
      <w:numFmt w:val="decimal"/>
      <w:pStyle w:val="Listenumros"/>
      <w:lvlText w:val="%1."/>
      <w:lvlJc w:val="left"/>
      <w:pPr>
        <w:ind w:left="360" w:hanging="360"/>
      </w:pPr>
      <w:rPr>
        <w:rFonts w:hint="default"/>
        <w:b/>
        <w:color w:val="581D74" w:themeColor="accent1"/>
      </w:rPr>
    </w:lvl>
    <w:lvl w:ilvl="1">
      <w:start w:val="1"/>
      <w:numFmt w:val="decimal"/>
      <w:pStyle w:val="Listenumros2"/>
      <w:lvlText w:val="%2."/>
      <w:lvlJc w:val="left"/>
      <w:pPr>
        <w:ind w:left="936" w:hanging="576"/>
      </w:pPr>
      <w:rPr>
        <w:rFonts w:hint="default"/>
        <w:b/>
        <w:color w:val="F47920" w:themeColor="accent3"/>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B47462C"/>
    <w:multiLevelType w:val="hybridMultilevel"/>
    <w:tmpl w:val="AF888C70"/>
    <w:lvl w:ilvl="0" w:tplc="DD00CE74">
      <w:start w:val="1"/>
      <w:numFmt w:val="bullet"/>
      <w:lvlText w:val=""/>
      <w:lvlJc w:val="left"/>
      <w:pPr>
        <w:ind w:left="720" w:hanging="360"/>
      </w:pPr>
      <w:rPr>
        <w:rFonts w:ascii="Wingdings" w:hAnsi="Wingdings" w:hint="default"/>
        <w:b w:val="0"/>
        <w:color w:val="581D74"/>
        <w:sz w:val="16"/>
      </w:rPr>
    </w:lvl>
    <w:lvl w:ilvl="1" w:tplc="BDBECD8C">
      <w:start w:val="1"/>
      <w:numFmt w:val="bullet"/>
      <w:lvlText w:val=""/>
      <w:lvlJc w:val="left"/>
      <w:pPr>
        <w:ind w:left="1440" w:hanging="360"/>
      </w:pPr>
      <w:rPr>
        <w:rFonts w:ascii="Wingdings" w:hAnsi="Wingdings" w:hint="default"/>
        <w:color w:val="A778AE" w:themeColor="accent2"/>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10778C4"/>
    <w:multiLevelType w:val="hybridMultilevel"/>
    <w:tmpl w:val="758883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3D500AD"/>
    <w:multiLevelType w:val="hybridMultilevel"/>
    <w:tmpl w:val="10F4CAFC"/>
    <w:lvl w:ilvl="0" w:tplc="040C0005">
      <w:start w:val="1"/>
      <w:numFmt w:val="bullet"/>
      <w:lvlText w:val=""/>
      <w:lvlJc w:val="left"/>
      <w:pPr>
        <w:ind w:left="720" w:hanging="360"/>
      </w:pPr>
      <w:rPr>
        <w:rFonts w:ascii="Wingdings" w:hAnsi="Wingdings" w:hint="default"/>
      </w:rPr>
    </w:lvl>
    <w:lvl w:ilvl="1" w:tplc="040C0005">
      <w:start w:val="1"/>
      <w:numFmt w:val="bullet"/>
      <w:lvlText w:val=""/>
      <w:lvlJc w:val="left"/>
      <w:pPr>
        <w:ind w:left="1440" w:hanging="360"/>
      </w:pPr>
      <w:rPr>
        <w:rFonts w:ascii="Wingdings" w:hAnsi="Wingdings" w:hint="default"/>
        <w:color w:val="F47920" w:themeColor="accent3"/>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8196DC7"/>
    <w:multiLevelType w:val="hybridMultilevel"/>
    <w:tmpl w:val="212CDBE0"/>
    <w:lvl w:ilvl="0" w:tplc="B4324F2A">
      <w:start w:val="1"/>
      <w:numFmt w:val="bullet"/>
      <w:lvlText w:val=""/>
      <w:lvlJc w:val="left"/>
      <w:pPr>
        <w:ind w:left="360" w:hanging="360"/>
      </w:pPr>
      <w:rPr>
        <w:rFonts w:ascii="Symbol" w:hAnsi="Symbol" w:hint="default"/>
        <w:color w:val="A778AE" w:themeColor="accent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58FB69B5"/>
    <w:multiLevelType w:val="hybridMultilevel"/>
    <w:tmpl w:val="47701F30"/>
    <w:lvl w:ilvl="0" w:tplc="E6EC839E">
      <w:start w:val="1"/>
      <w:numFmt w:val="bullet"/>
      <w:lvlText w:val=""/>
      <w:lvlJc w:val="left"/>
      <w:pPr>
        <w:tabs>
          <w:tab w:val="num" w:pos="720"/>
        </w:tabs>
        <w:ind w:left="720" w:hanging="360"/>
      </w:pPr>
      <w:rPr>
        <w:rFonts w:ascii="Wingdings" w:hAnsi="Wingdings" w:hint="default"/>
      </w:rPr>
    </w:lvl>
    <w:lvl w:ilvl="1" w:tplc="D632EE68">
      <w:start w:val="1"/>
      <w:numFmt w:val="bullet"/>
      <w:lvlText w:val=""/>
      <w:lvlJc w:val="left"/>
      <w:pPr>
        <w:tabs>
          <w:tab w:val="num" w:pos="1440"/>
        </w:tabs>
        <w:ind w:left="1440" w:hanging="360"/>
      </w:pPr>
      <w:rPr>
        <w:rFonts w:ascii="Wingdings" w:hAnsi="Wingdings" w:hint="default"/>
      </w:rPr>
    </w:lvl>
    <w:lvl w:ilvl="2" w:tplc="A69E9D6A" w:tentative="1">
      <w:start w:val="1"/>
      <w:numFmt w:val="bullet"/>
      <w:lvlText w:val=""/>
      <w:lvlJc w:val="left"/>
      <w:pPr>
        <w:tabs>
          <w:tab w:val="num" w:pos="2160"/>
        </w:tabs>
        <w:ind w:left="2160" w:hanging="360"/>
      </w:pPr>
      <w:rPr>
        <w:rFonts w:ascii="Wingdings" w:hAnsi="Wingdings" w:hint="default"/>
      </w:rPr>
    </w:lvl>
    <w:lvl w:ilvl="3" w:tplc="7DD00D0C" w:tentative="1">
      <w:start w:val="1"/>
      <w:numFmt w:val="bullet"/>
      <w:lvlText w:val=""/>
      <w:lvlJc w:val="left"/>
      <w:pPr>
        <w:tabs>
          <w:tab w:val="num" w:pos="2880"/>
        </w:tabs>
        <w:ind w:left="2880" w:hanging="360"/>
      </w:pPr>
      <w:rPr>
        <w:rFonts w:ascii="Wingdings" w:hAnsi="Wingdings" w:hint="default"/>
      </w:rPr>
    </w:lvl>
    <w:lvl w:ilvl="4" w:tplc="0BD8A876" w:tentative="1">
      <w:start w:val="1"/>
      <w:numFmt w:val="bullet"/>
      <w:lvlText w:val=""/>
      <w:lvlJc w:val="left"/>
      <w:pPr>
        <w:tabs>
          <w:tab w:val="num" w:pos="3600"/>
        </w:tabs>
        <w:ind w:left="3600" w:hanging="360"/>
      </w:pPr>
      <w:rPr>
        <w:rFonts w:ascii="Wingdings" w:hAnsi="Wingdings" w:hint="default"/>
      </w:rPr>
    </w:lvl>
    <w:lvl w:ilvl="5" w:tplc="4D042010" w:tentative="1">
      <w:start w:val="1"/>
      <w:numFmt w:val="bullet"/>
      <w:lvlText w:val=""/>
      <w:lvlJc w:val="left"/>
      <w:pPr>
        <w:tabs>
          <w:tab w:val="num" w:pos="4320"/>
        </w:tabs>
        <w:ind w:left="4320" w:hanging="360"/>
      </w:pPr>
      <w:rPr>
        <w:rFonts w:ascii="Wingdings" w:hAnsi="Wingdings" w:hint="default"/>
      </w:rPr>
    </w:lvl>
    <w:lvl w:ilvl="6" w:tplc="7FA436C4" w:tentative="1">
      <w:start w:val="1"/>
      <w:numFmt w:val="bullet"/>
      <w:lvlText w:val=""/>
      <w:lvlJc w:val="left"/>
      <w:pPr>
        <w:tabs>
          <w:tab w:val="num" w:pos="5040"/>
        </w:tabs>
        <w:ind w:left="5040" w:hanging="360"/>
      </w:pPr>
      <w:rPr>
        <w:rFonts w:ascii="Wingdings" w:hAnsi="Wingdings" w:hint="default"/>
      </w:rPr>
    </w:lvl>
    <w:lvl w:ilvl="7" w:tplc="66880CD6" w:tentative="1">
      <w:start w:val="1"/>
      <w:numFmt w:val="bullet"/>
      <w:lvlText w:val=""/>
      <w:lvlJc w:val="left"/>
      <w:pPr>
        <w:tabs>
          <w:tab w:val="num" w:pos="5760"/>
        </w:tabs>
        <w:ind w:left="5760" w:hanging="360"/>
      </w:pPr>
      <w:rPr>
        <w:rFonts w:ascii="Wingdings" w:hAnsi="Wingdings" w:hint="default"/>
      </w:rPr>
    </w:lvl>
    <w:lvl w:ilvl="8" w:tplc="A89CD7A8" w:tentative="1">
      <w:start w:val="1"/>
      <w:numFmt w:val="bullet"/>
      <w:lvlText w:val=""/>
      <w:lvlJc w:val="left"/>
      <w:pPr>
        <w:tabs>
          <w:tab w:val="num" w:pos="6480"/>
        </w:tabs>
        <w:ind w:left="6480" w:hanging="360"/>
      </w:pPr>
      <w:rPr>
        <w:rFonts w:ascii="Wingdings" w:hAnsi="Wingdings" w:hint="default"/>
      </w:rPr>
    </w:lvl>
  </w:abstractNum>
  <w:abstractNum w:abstractNumId="16">
    <w:nsid w:val="590F58CD"/>
    <w:multiLevelType w:val="hybridMultilevel"/>
    <w:tmpl w:val="FEDE467A"/>
    <w:lvl w:ilvl="0" w:tplc="040C000D">
      <w:start w:val="1"/>
      <w:numFmt w:val="bullet"/>
      <w:lvlText w:val=""/>
      <w:lvlJc w:val="left"/>
      <w:pPr>
        <w:ind w:left="720" w:hanging="360"/>
      </w:pPr>
      <w:rPr>
        <w:rFonts w:ascii="Wingdings" w:hAnsi="Wingdings" w:hint="default"/>
      </w:rPr>
    </w:lvl>
    <w:lvl w:ilvl="1" w:tplc="BDBECD8C">
      <w:start w:val="1"/>
      <w:numFmt w:val="bullet"/>
      <w:lvlText w:val=""/>
      <w:lvlJc w:val="left"/>
      <w:pPr>
        <w:ind w:left="1440" w:hanging="360"/>
      </w:pPr>
      <w:rPr>
        <w:rFonts w:ascii="Wingdings" w:hAnsi="Wingdings" w:hint="default"/>
        <w:color w:val="A778AE" w:themeColor="accent2"/>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C82419B"/>
    <w:multiLevelType w:val="hybridMultilevel"/>
    <w:tmpl w:val="10920700"/>
    <w:lvl w:ilvl="0" w:tplc="DD00CE74">
      <w:start w:val="1"/>
      <w:numFmt w:val="bullet"/>
      <w:lvlText w:val=""/>
      <w:lvlJc w:val="left"/>
      <w:pPr>
        <w:ind w:left="720" w:hanging="360"/>
      </w:pPr>
      <w:rPr>
        <w:rFonts w:ascii="Wingdings" w:hAnsi="Wingdings" w:hint="default"/>
        <w:b w:val="0"/>
        <w:color w:val="581D74"/>
        <w:sz w:val="16"/>
      </w:rPr>
    </w:lvl>
    <w:lvl w:ilvl="1" w:tplc="151C507E">
      <w:start w:val="1"/>
      <w:numFmt w:val="bullet"/>
      <w:lvlText w:val=""/>
      <w:lvlJc w:val="left"/>
      <w:pPr>
        <w:ind w:left="1440" w:hanging="360"/>
      </w:pPr>
      <w:rPr>
        <w:rFonts w:ascii="Wingdings" w:hAnsi="Wingdings" w:hint="default"/>
        <w:color w:val="F47920" w:themeColor="accent3"/>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3156BB2"/>
    <w:multiLevelType w:val="hybridMultilevel"/>
    <w:tmpl w:val="53485EB4"/>
    <w:lvl w:ilvl="0" w:tplc="40322B36">
      <w:start w:val="1"/>
      <w:numFmt w:val="lowerLetter"/>
      <w:lvlText w:val="%1)"/>
      <w:lvlJc w:val="left"/>
      <w:pPr>
        <w:tabs>
          <w:tab w:val="num" w:pos="720"/>
        </w:tabs>
        <w:ind w:left="720" w:hanging="360"/>
      </w:pPr>
      <w:rPr>
        <w:rFonts w:hint="default"/>
        <w:color w:val="581D74"/>
      </w:rPr>
    </w:lvl>
    <w:lvl w:ilvl="1" w:tplc="0ADE2B90">
      <w:start w:val="1"/>
      <w:numFmt w:val="bullet"/>
      <w:lvlText w:val=""/>
      <w:lvlJc w:val="left"/>
      <w:pPr>
        <w:tabs>
          <w:tab w:val="num" w:pos="1440"/>
        </w:tabs>
        <w:ind w:left="1440" w:hanging="360"/>
      </w:pPr>
      <w:rPr>
        <w:rFonts w:ascii="Symbol" w:hAnsi="Symbol" w:hint="default"/>
        <w:color w:val="581D74"/>
      </w:rPr>
    </w:lvl>
    <w:lvl w:ilvl="2" w:tplc="040C0017">
      <w:start w:val="1"/>
      <w:numFmt w:val="lowerLetter"/>
      <w:lvlText w:val="%3)"/>
      <w:lvlJc w:val="left"/>
      <w:pPr>
        <w:tabs>
          <w:tab w:val="num" w:pos="2160"/>
        </w:tabs>
        <w:ind w:left="2160" w:hanging="360"/>
      </w:pPr>
      <w:rPr>
        <w:rFonts w:hint="default"/>
        <w:color w:val="581D74"/>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7BA001E9"/>
    <w:multiLevelType w:val="hybridMultilevel"/>
    <w:tmpl w:val="E83AA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D4772A8"/>
    <w:multiLevelType w:val="hybridMultilevel"/>
    <w:tmpl w:val="B8866BE6"/>
    <w:lvl w:ilvl="0" w:tplc="151C507E">
      <w:start w:val="1"/>
      <w:numFmt w:val="bullet"/>
      <w:lvlText w:val=""/>
      <w:lvlJc w:val="left"/>
      <w:pPr>
        <w:ind w:left="720" w:hanging="360"/>
      </w:pPr>
      <w:rPr>
        <w:rFonts w:ascii="Wingdings" w:hAnsi="Wingdings" w:hint="default"/>
        <w:color w:val="F47920" w:themeColor="accent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2"/>
  </w:num>
  <w:num w:numId="4">
    <w:abstractNumId w:val="18"/>
  </w:num>
  <w:num w:numId="5">
    <w:abstractNumId w:val="18"/>
    <w:lvlOverride w:ilvl="0">
      <w:startOverride w:val="1"/>
    </w:lvlOverride>
    <w:lvlOverride w:ilvl="1"/>
    <w:lvlOverride w:ilvl="2">
      <w:startOverride w:val="1"/>
    </w:lvlOverride>
    <w:lvlOverride w:ilvl="3"/>
    <w:lvlOverride w:ilvl="4"/>
    <w:lvlOverride w:ilvl="5"/>
    <w:lvlOverride w:ilvl="6"/>
    <w:lvlOverride w:ilvl="7"/>
    <w:lvlOverride w:ilvl="8"/>
  </w:num>
  <w:num w:numId="6">
    <w:abstractNumId w:val="8"/>
  </w:num>
  <w:num w:numId="7">
    <w:abstractNumId w:val="1"/>
  </w:num>
  <w:num w:numId="8">
    <w:abstractNumId w:val="17"/>
  </w:num>
  <w:num w:numId="9">
    <w:abstractNumId w:val="16"/>
  </w:num>
  <w:num w:numId="10">
    <w:abstractNumId w:val="13"/>
  </w:num>
  <w:num w:numId="11">
    <w:abstractNumId w:val="14"/>
  </w:num>
  <w:num w:numId="12">
    <w:abstractNumId w:val="19"/>
  </w:num>
  <w:num w:numId="13">
    <w:abstractNumId w:val="0"/>
  </w:num>
  <w:num w:numId="14">
    <w:abstractNumId w:val="18"/>
    <w:lvlOverride w:ilvl="0">
      <w:startOverride w:val="1"/>
    </w:lvlOverride>
    <w:lvlOverride w:ilvl="1"/>
    <w:lvlOverride w:ilvl="2">
      <w:startOverride w:val="1"/>
    </w:lvlOverride>
    <w:lvlOverride w:ilvl="3"/>
    <w:lvlOverride w:ilvl="4"/>
    <w:lvlOverride w:ilvl="5"/>
    <w:lvlOverride w:ilvl="6"/>
    <w:lvlOverride w:ilvl="7"/>
    <w:lvlOverride w:ilvl="8"/>
  </w:num>
  <w:num w:numId="15">
    <w:abstractNumId w:val="6"/>
  </w:num>
  <w:num w:numId="16">
    <w:abstractNumId w:val="12"/>
  </w:num>
  <w:num w:numId="17">
    <w:abstractNumId w:val="7"/>
  </w:num>
  <w:num w:numId="18">
    <w:abstractNumId w:val="15"/>
  </w:num>
  <w:num w:numId="19">
    <w:abstractNumId w:val="4"/>
  </w:num>
  <w:num w:numId="20">
    <w:abstractNumId w:val="5"/>
  </w:num>
  <w:num w:numId="21">
    <w:abstractNumId w:val="11"/>
  </w:num>
  <w:num w:numId="22">
    <w:abstractNumId w:val="20"/>
  </w:num>
  <w:num w:numId="2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doNotShadeFormData/>
  <w:noPunctuationKerning/>
  <w:characterSpacingControl w:val="doNotCompress"/>
  <w:hdrShapeDefaults>
    <o:shapedefaults v:ext="edit" spidmax="40961">
      <o:colormru v:ext="edit" colors="#581d74,#e9dddd,#e7d5e7,#a678ae,#c5b5b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22C"/>
    <w:rsid w:val="0000172B"/>
    <w:rsid w:val="000017FD"/>
    <w:rsid w:val="0000231B"/>
    <w:rsid w:val="00002383"/>
    <w:rsid w:val="000037DB"/>
    <w:rsid w:val="00006167"/>
    <w:rsid w:val="00010784"/>
    <w:rsid w:val="00010B5D"/>
    <w:rsid w:val="00012B53"/>
    <w:rsid w:val="00012E36"/>
    <w:rsid w:val="00014E27"/>
    <w:rsid w:val="00015A86"/>
    <w:rsid w:val="00015C3D"/>
    <w:rsid w:val="00017910"/>
    <w:rsid w:val="00017E1F"/>
    <w:rsid w:val="000207FE"/>
    <w:rsid w:val="00026276"/>
    <w:rsid w:val="00026675"/>
    <w:rsid w:val="0002778F"/>
    <w:rsid w:val="00027C41"/>
    <w:rsid w:val="00034CD1"/>
    <w:rsid w:val="00035BD2"/>
    <w:rsid w:val="00036B13"/>
    <w:rsid w:val="0004254B"/>
    <w:rsid w:val="000448B3"/>
    <w:rsid w:val="0004492B"/>
    <w:rsid w:val="00044B44"/>
    <w:rsid w:val="00046AB3"/>
    <w:rsid w:val="00050019"/>
    <w:rsid w:val="00050D3C"/>
    <w:rsid w:val="00061AAF"/>
    <w:rsid w:val="0006306D"/>
    <w:rsid w:val="00065926"/>
    <w:rsid w:val="000664AB"/>
    <w:rsid w:val="00066985"/>
    <w:rsid w:val="0007229B"/>
    <w:rsid w:val="00075C56"/>
    <w:rsid w:val="000761FE"/>
    <w:rsid w:val="00076842"/>
    <w:rsid w:val="000808A6"/>
    <w:rsid w:val="00081BDB"/>
    <w:rsid w:val="00083B3D"/>
    <w:rsid w:val="00087ABC"/>
    <w:rsid w:val="000901A2"/>
    <w:rsid w:val="00091745"/>
    <w:rsid w:val="00092C74"/>
    <w:rsid w:val="00093C53"/>
    <w:rsid w:val="00093D2B"/>
    <w:rsid w:val="00095351"/>
    <w:rsid w:val="00095548"/>
    <w:rsid w:val="000A0306"/>
    <w:rsid w:val="000A1BD8"/>
    <w:rsid w:val="000A5E6D"/>
    <w:rsid w:val="000A69D2"/>
    <w:rsid w:val="000A6CE1"/>
    <w:rsid w:val="000A776F"/>
    <w:rsid w:val="000B18B5"/>
    <w:rsid w:val="000B1C27"/>
    <w:rsid w:val="000B2846"/>
    <w:rsid w:val="000B329A"/>
    <w:rsid w:val="000B4BF0"/>
    <w:rsid w:val="000C2CDB"/>
    <w:rsid w:val="000C7AD9"/>
    <w:rsid w:val="000D00CF"/>
    <w:rsid w:val="000D1FEE"/>
    <w:rsid w:val="000D2BBD"/>
    <w:rsid w:val="000D4181"/>
    <w:rsid w:val="000D5207"/>
    <w:rsid w:val="000E0A7E"/>
    <w:rsid w:val="000E2F9E"/>
    <w:rsid w:val="000F044E"/>
    <w:rsid w:val="000F0C59"/>
    <w:rsid w:val="000F11BE"/>
    <w:rsid w:val="000F245F"/>
    <w:rsid w:val="000F5EAF"/>
    <w:rsid w:val="00100D2B"/>
    <w:rsid w:val="001012AE"/>
    <w:rsid w:val="00103228"/>
    <w:rsid w:val="00105910"/>
    <w:rsid w:val="001063B2"/>
    <w:rsid w:val="001063B8"/>
    <w:rsid w:val="00111CB6"/>
    <w:rsid w:val="00112319"/>
    <w:rsid w:val="00113BB0"/>
    <w:rsid w:val="001144AE"/>
    <w:rsid w:val="001161CC"/>
    <w:rsid w:val="00117CB9"/>
    <w:rsid w:val="00122372"/>
    <w:rsid w:val="001243AA"/>
    <w:rsid w:val="00124D74"/>
    <w:rsid w:val="00127105"/>
    <w:rsid w:val="00132D75"/>
    <w:rsid w:val="00136891"/>
    <w:rsid w:val="00141DBB"/>
    <w:rsid w:val="001433F9"/>
    <w:rsid w:val="00144364"/>
    <w:rsid w:val="001443DA"/>
    <w:rsid w:val="001471F9"/>
    <w:rsid w:val="00152172"/>
    <w:rsid w:val="00152315"/>
    <w:rsid w:val="0015263F"/>
    <w:rsid w:val="0015269E"/>
    <w:rsid w:val="00152A44"/>
    <w:rsid w:val="00160174"/>
    <w:rsid w:val="0016040C"/>
    <w:rsid w:val="00160755"/>
    <w:rsid w:val="00162B9B"/>
    <w:rsid w:val="00164928"/>
    <w:rsid w:val="00166900"/>
    <w:rsid w:val="00167C9D"/>
    <w:rsid w:val="001715E9"/>
    <w:rsid w:val="00174811"/>
    <w:rsid w:val="00174AB5"/>
    <w:rsid w:val="00176DE2"/>
    <w:rsid w:val="00177392"/>
    <w:rsid w:val="00181F8E"/>
    <w:rsid w:val="00182E90"/>
    <w:rsid w:val="001842B8"/>
    <w:rsid w:val="0018523A"/>
    <w:rsid w:val="00187885"/>
    <w:rsid w:val="00187F83"/>
    <w:rsid w:val="00193A82"/>
    <w:rsid w:val="001947A6"/>
    <w:rsid w:val="00194C39"/>
    <w:rsid w:val="00196FC6"/>
    <w:rsid w:val="00197A34"/>
    <w:rsid w:val="001A1B9F"/>
    <w:rsid w:val="001A5383"/>
    <w:rsid w:val="001A5D81"/>
    <w:rsid w:val="001B3B09"/>
    <w:rsid w:val="001B428B"/>
    <w:rsid w:val="001B4AB7"/>
    <w:rsid w:val="001B4B7E"/>
    <w:rsid w:val="001C300C"/>
    <w:rsid w:val="001C4F12"/>
    <w:rsid w:val="001C5CED"/>
    <w:rsid w:val="001C6114"/>
    <w:rsid w:val="001C76F4"/>
    <w:rsid w:val="001D4313"/>
    <w:rsid w:val="001D5916"/>
    <w:rsid w:val="001D606B"/>
    <w:rsid w:val="001D63D4"/>
    <w:rsid w:val="001E00E1"/>
    <w:rsid w:val="001E282D"/>
    <w:rsid w:val="001E58D7"/>
    <w:rsid w:val="001F04C9"/>
    <w:rsid w:val="001F08F7"/>
    <w:rsid w:val="001F12BE"/>
    <w:rsid w:val="001F21F3"/>
    <w:rsid w:val="001F2E0D"/>
    <w:rsid w:val="001F3006"/>
    <w:rsid w:val="001F51B1"/>
    <w:rsid w:val="001F64A4"/>
    <w:rsid w:val="00201E7C"/>
    <w:rsid w:val="00203C23"/>
    <w:rsid w:val="00205651"/>
    <w:rsid w:val="00205724"/>
    <w:rsid w:val="00206F87"/>
    <w:rsid w:val="00207C8E"/>
    <w:rsid w:val="00210B67"/>
    <w:rsid w:val="0021191F"/>
    <w:rsid w:val="00211AF7"/>
    <w:rsid w:val="00214CC2"/>
    <w:rsid w:val="00225368"/>
    <w:rsid w:val="00230ACC"/>
    <w:rsid w:val="00232B1D"/>
    <w:rsid w:val="00232EAE"/>
    <w:rsid w:val="00237B69"/>
    <w:rsid w:val="00237F3B"/>
    <w:rsid w:val="00240E64"/>
    <w:rsid w:val="00243CD3"/>
    <w:rsid w:val="0025084D"/>
    <w:rsid w:val="00251858"/>
    <w:rsid w:val="00251C9F"/>
    <w:rsid w:val="0025230F"/>
    <w:rsid w:val="00256F9E"/>
    <w:rsid w:val="00257926"/>
    <w:rsid w:val="00260A6F"/>
    <w:rsid w:val="002645BE"/>
    <w:rsid w:val="00264FE8"/>
    <w:rsid w:val="002702C5"/>
    <w:rsid w:val="00273DC0"/>
    <w:rsid w:val="0027625E"/>
    <w:rsid w:val="00277A6C"/>
    <w:rsid w:val="00281051"/>
    <w:rsid w:val="00281296"/>
    <w:rsid w:val="00281695"/>
    <w:rsid w:val="00282C09"/>
    <w:rsid w:val="002844AA"/>
    <w:rsid w:val="00292DCD"/>
    <w:rsid w:val="00292E6A"/>
    <w:rsid w:val="002954A3"/>
    <w:rsid w:val="002A586E"/>
    <w:rsid w:val="002B443A"/>
    <w:rsid w:val="002B5E63"/>
    <w:rsid w:val="002B606E"/>
    <w:rsid w:val="002C07B0"/>
    <w:rsid w:val="002C0F06"/>
    <w:rsid w:val="002C2D7B"/>
    <w:rsid w:val="002C499D"/>
    <w:rsid w:val="002C6C8B"/>
    <w:rsid w:val="002C730F"/>
    <w:rsid w:val="002D26B5"/>
    <w:rsid w:val="002D2C4B"/>
    <w:rsid w:val="002D5017"/>
    <w:rsid w:val="002E142E"/>
    <w:rsid w:val="002E2659"/>
    <w:rsid w:val="002E4988"/>
    <w:rsid w:val="002E6DDC"/>
    <w:rsid w:val="002E7751"/>
    <w:rsid w:val="002F237D"/>
    <w:rsid w:val="002F2E43"/>
    <w:rsid w:val="002F61F6"/>
    <w:rsid w:val="002F67EB"/>
    <w:rsid w:val="00300A1C"/>
    <w:rsid w:val="00300AC7"/>
    <w:rsid w:val="00303466"/>
    <w:rsid w:val="00305B3D"/>
    <w:rsid w:val="00305F5E"/>
    <w:rsid w:val="00312023"/>
    <w:rsid w:val="003207FA"/>
    <w:rsid w:val="003212D0"/>
    <w:rsid w:val="00322A8C"/>
    <w:rsid w:val="003231E5"/>
    <w:rsid w:val="003238A3"/>
    <w:rsid w:val="003254CE"/>
    <w:rsid w:val="00326C39"/>
    <w:rsid w:val="0033076B"/>
    <w:rsid w:val="00332011"/>
    <w:rsid w:val="0033333E"/>
    <w:rsid w:val="00334069"/>
    <w:rsid w:val="0033715E"/>
    <w:rsid w:val="00340E9C"/>
    <w:rsid w:val="00342392"/>
    <w:rsid w:val="00342AE5"/>
    <w:rsid w:val="00342E98"/>
    <w:rsid w:val="0034344F"/>
    <w:rsid w:val="00343D2C"/>
    <w:rsid w:val="0034756A"/>
    <w:rsid w:val="0035018E"/>
    <w:rsid w:val="00352BF7"/>
    <w:rsid w:val="00353938"/>
    <w:rsid w:val="003539E1"/>
    <w:rsid w:val="0035537C"/>
    <w:rsid w:val="00360FC1"/>
    <w:rsid w:val="003656E3"/>
    <w:rsid w:val="0036765D"/>
    <w:rsid w:val="003701E2"/>
    <w:rsid w:val="00373583"/>
    <w:rsid w:val="00375BEC"/>
    <w:rsid w:val="003760A8"/>
    <w:rsid w:val="003761E1"/>
    <w:rsid w:val="0037754A"/>
    <w:rsid w:val="003808C8"/>
    <w:rsid w:val="003837EE"/>
    <w:rsid w:val="00383ECB"/>
    <w:rsid w:val="0038414D"/>
    <w:rsid w:val="003841D7"/>
    <w:rsid w:val="00384481"/>
    <w:rsid w:val="00385172"/>
    <w:rsid w:val="00386260"/>
    <w:rsid w:val="00386EE6"/>
    <w:rsid w:val="00392E5F"/>
    <w:rsid w:val="0039484F"/>
    <w:rsid w:val="003949A4"/>
    <w:rsid w:val="003A2000"/>
    <w:rsid w:val="003A22C2"/>
    <w:rsid w:val="003A2FA1"/>
    <w:rsid w:val="003A5611"/>
    <w:rsid w:val="003A658C"/>
    <w:rsid w:val="003B23C2"/>
    <w:rsid w:val="003B2B9A"/>
    <w:rsid w:val="003B3DE5"/>
    <w:rsid w:val="003B5F41"/>
    <w:rsid w:val="003B6639"/>
    <w:rsid w:val="003B6E99"/>
    <w:rsid w:val="003B6FD7"/>
    <w:rsid w:val="003C205D"/>
    <w:rsid w:val="003C33FC"/>
    <w:rsid w:val="003D0388"/>
    <w:rsid w:val="003D0B7B"/>
    <w:rsid w:val="003D15F1"/>
    <w:rsid w:val="003D1C5D"/>
    <w:rsid w:val="003D53DC"/>
    <w:rsid w:val="003D6A1C"/>
    <w:rsid w:val="003E0316"/>
    <w:rsid w:val="003E2432"/>
    <w:rsid w:val="003E3BA4"/>
    <w:rsid w:val="003E6252"/>
    <w:rsid w:val="003E7A0F"/>
    <w:rsid w:val="003F0E0F"/>
    <w:rsid w:val="003F0E89"/>
    <w:rsid w:val="003F133F"/>
    <w:rsid w:val="003F50E7"/>
    <w:rsid w:val="00400560"/>
    <w:rsid w:val="00400B40"/>
    <w:rsid w:val="0040267C"/>
    <w:rsid w:val="0040460D"/>
    <w:rsid w:val="00407721"/>
    <w:rsid w:val="00407A4E"/>
    <w:rsid w:val="004109B6"/>
    <w:rsid w:val="00410EE9"/>
    <w:rsid w:val="00412E52"/>
    <w:rsid w:val="00414E0A"/>
    <w:rsid w:val="00415726"/>
    <w:rsid w:val="0041718B"/>
    <w:rsid w:val="00421854"/>
    <w:rsid w:val="00421C16"/>
    <w:rsid w:val="004306C1"/>
    <w:rsid w:val="00431277"/>
    <w:rsid w:val="004350B4"/>
    <w:rsid w:val="00435144"/>
    <w:rsid w:val="004366C9"/>
    <w:rsid w:val="00436D37"/>
    <w:rsid w:val="004412BA"/>
    <w:rsid w:val="004414C5"/>
    <w:rsid w:val="004428DE"/>
    <w:rsid w:val="00446EBF"/>
    <w:rsid w:val="00446F15"/>
    <w:rsid w:val="004508A9"/>
    <w:rsid w:val="00452A2D"/>
    <w:rsid w:val="00452FC9"/>
    <w:rsid w:val="004624F3"/>
    <w:rsid w:val="00463490"/>
    <w:rsid w:val="00470C02"/>
    <w:rsid w:val="0047124D"/>
    <w:rsid w:val="00476D0E"/>
    <w:rsid w:val="0047774B"/>
    <w:rsid w:val="00481D1B"/>
    <w:rsid w:val="0048434A"/>
    <w:rsid w:val="00491E5C"/>
    <w:rsid w:val="00492622"/>
    <w:rsid w:val="00493D20"/>
    <w:rsid w:val="00494087"/>
    <w:rsid w:val="004A07A9"/>
    <w:rsid w:val="004A3BFA"/>
    <w:rsid w:val="004A74BF"/>
    <w:rsid w:val="004B15C0"/>
    <w:rsid w:val="004B29BA"/>
    <w:rsid w:val="004B4EF2"/>
    <w:rsid w:val="004B508F"/>
    <w:rsid w:val="004C05B6"/>
    <w:rsid w:val="004C375B"/>
    <w:rsid w:val="004C7B7C"/>
    <w:rsid w:val="004D3F90"/>
    <w:rsid w:val="004D3FD3"/>
    <w:rsid w:val="004D6927"/>
    <w:rsid w:val="004D7339"/>
    <w:rsid w:val="004D7D68"/>
    <w:rsid w:val="004E0261"/>
    <w:rsid w:val="004E210E"/>
    <w:rsid w:val="004E5005"/>
    <w:rsid w:val="004F3CAB"/>
    <w:rsid w:val="004F4252"/>
    <w:rsid w:val="004F7988"/>
    <w:rsid w:val="00501BCB"/>
    <w:rsid w:val="00501D09"/>
    <w:rsid w:val="00505AB2"/>
    <w:rsid w:val="005066FC"/>
    <w:rsid w:val="0051083C"/>
    <w:rsid w:val="00510B6C"/>
    <w:rsid w:val="00511CF3"/>
    <w:rsid w:val="00512E1E"/>
    <w:rsid w:val="00514B6F"/>
    <w:rsid w:val="0051639E"/>
    <w:rsid w:val="00516515"/>
    <w:rsid w:val="00520F99"/>
    <w:rsid w:val="005211A6"/>
    <w:rsid w:val="00521489"/>
    <w:rsid w:val="00524058"/>
    <w:rsid w:val="00525B14"/>
    <w:rsid w:val="005309E8"/>
    <w:rsid w:val="0053295C"/>
    <w:rsid w:val="00533534"/>
    <w:rsid w:val="00534A61"/>
    <w:rsid w:val="00535E8D"/>
    <w:rsid w:val="00535F07"/>
    <w:rsid w:val="00536830"/>
    <w:rsid w:val="00542BDC"/>
    <w:rsid w:val="0054366B"/>
    <w:rsid w:val="00544E76"/>
    <w:rsid w:val="005450EF"/>
    <w:rsid w:val="00546166"/>
    <w:rsid w:val="00546B97"/>
    <w:rsid w:val="00553579"/>
    <w:rsid w:val="0055467D"/>
    <w:rsid w:val="00555685"/>
    <w:rsid w:val="00555C3C"/>
    <w:rsid w:val="00561040"/>
    <w:rsid w:val="00563326"/>
    <w:rsid w:val="00565D6E"/>
    <w:rsid w:val="00567466"/>
    <w:rsid w:val="00572D78"/>
    <w:rsid w:val="005747BC"/>
    <w:rsid w:val="00580069"/>
    <w:rsid w:val="0058191C"/>
    <w:rsid w:val="00582F58"/>
    <w:rsid w:val="005837B5"/>
    <w:rsid w:val="00585527"/>
    <w:rsid w:val="00585FB8"/>
    <w:rsid w:val="00587C09"/>
    <w:rsid w:val="00590FFB"/>
    <w:rsid w:val="00594174"/>
    <w:rsid w:val="00594344"/>
    <w:rsid w:val="00595CCC"/>
    <w:rsid w:val="00595F0E"/>
    <w:rsid w:val="005A17C0"/>
    <w:rsid w:val="005A1DE7"/>
    <w:rsid w:val="005A22E0"/>
    <w:rsid w:val="005A26A6"/>
    <w:rsid w:val="005A2A97"/>
    <w:rsid w:val="005A5F14"/>
    <w:rsid w:val="005A72BA"/>
    <w:rsid w:val="005B25AF"/>
    <w:rsid w:val="005B31C7"/>
    <w:rsid w:val="005B4CDB"/>
    <w:rsid w:val="005C07CB"/>
    <w:rsid w:val="005C21D2"/>
    <w:rsid w:val="005C3F8A"/>
    <w:rsid w:val="005C6077"/>
    <w:rsid w:val="005C7783"/>
    <w:rsid w:val="005D063B"/>
    <w:rsid w:val="005D0707"/>
    <w:rsid w:val="005D0E81"/>
    <w:rsid w:val="005D3EE9"/>
    <w:rsid w:val="005E0188"/>
    <w:rsid w:val="005E1FD4"/>
    <w:rsid w:val="005E4C05"/>
    <w:rsid w:val="005E7229"/>
    <w:rsid w:val="005E75C1"/>
    <w:rsid w:val="005F043B"/>
    <w:rsid w:val="005F2044"/>
    <w:rsid w:val="005F30CC"/>
    <w:rsid w:val="005F4200"/>
    <w:rsid w:val="00600D78"/>
    <w:rsid w:val="00601124"/>
    <w:rsid w:val="00601E7B"/>
    <w:rsid w:val="00603FA6"/>
    <w:rsid w:val="00604FAD"/>
    <w:rsid w:val="00605EAB"/>
    <w:rsid w:val="006077E8"/>
    <w:rsid w:val="00610458"/>
    <w:rsid w:val="00610A14"/>
    <w:rsid w:val="00614D52"/>
    <w:rsid w:val="00616808"/>
    <w:rsid w:val="00622F13"/>
    <w:rsid w:val="00623EE7"/>
    <w:rsid w:val="00625A9A"/>
    <w:rsid w:val="00626966"/>
    <w:rsid w:val="0063227E"/>
    <w:rsid w:val="006333AE"/>
    <w:rsid w:val="00636519"/>
    <w:rsid w:val="00636C9A"/>
    <w:rsid w:val="00636D78"/>
    <w:rsid w:val="0063738C"/>
    <w:rsid w:val="00637823"/>
    <w:rsid w:val="0064164F"/>
    <w:rsid w:val="00642563"/>
    <w:rsid w:val="006441C7"/>
    <w:rsid w:val="0064622C"/>
    <w:rsid w:val="00646349"/>
    <w:rsid w:val="00647905"/>
    <w:rsid w:val="00652371"/>
    <w:rsid w:val="0065529C"/>
    <w:rsid w:val="00662018"/>
    <w:rsid w:val="006672DE"/>
    <w:rsid w:val="006727D7"/>
    <w:rsid w:val="00673138"/>
    <w:rsid w:val="006751F0"/>
    <w:rsid w:val="00676713"/>
    <w:rsid w:val="00681B48"/>
    <w:rsid w:val="006826E3"/>
    <w:rsid w:val="00682EC8"/>
    <w:rsid w:val="00685787"/>
    <w:rsid w:val="00686BC8"/>
    <w:rsid w:val="006872C7"/>
    <w:rsid w:val="006900E0"/>
    <w:rsid w:val="00690870"/>
    <w:rsid w:val="00690A70"/>
    <w:rsid w:val="0069242A"/>
    <w:rsid w:val="006929C4"/>
    <w:rsid w:val="00693FE0"/>
    <w:rsid w:val="00694968"/>
    <w:rsid w:val="00697BE0"/>
    <w:rsid w:val="006A06EE"/>
    <w:rsid w:val="006A3AC6"/>
    <w:rsid w:val="006A5D3C"/>
    <w:rsid w:val="006A7849"/>
    <w:rsid w:val="006A7C90"/>
    <w:rsid w:val="006A7F59"/>
    <w:rsid w:val="006B0ECD"/>
    <w:rsid w:val="006B2D1A"/>
    <w:rsid w:val="006B4510"/>
    <w:rsid w:val="006C059A"/>
    <w:rsid w:val="006C489C"/>
    <w:rsid w:val="006C7045"/>
    <w:rsid w:val="006D00EB"/>
    <w:rsid w:val="006D010D"/>
    <w:rsid w:val="006D2043"/>
    <w:rsid w:val="006D233B"/>
    <w:rsid w:val="006D277F"/>
    <w:rsid w:val="006D395A"/>
    <w:rsid w:val="006D3A49"/>
    <w:rsid w:val="006D3D39"/>
    <w:rsid w:val="006D493D"/>
    <w:rsid w:val="006D6364"/>
    <w:rsid w:val="006E0507"/>
    <w:rsid w:val="006E186C"/>
    <w:rsid w:val="006E2BD6"/>
    <w:rsid w:val="006E2EFD"/>
    <w:rsid w:val="006E3A60"/>
    <w:rsid w:val="006F2A43"/>
    <w:rsid w:val="006F43DB"/>
    <w:rsid w:val="006F4E32"/>
    <w:rsid w:val="006F5B51"/>
    <w:rsid w:val="00700364"/>
    <w:rsid w:val="00701B0C"/>
    <w:rsid w:val="00702BD8"/>
    <w:rsid w:val="00705F8A"/>
    <w:rsid w:val="00707D9C"/>
    <w:rsid w:val="007108CA"/>
    <w:rsid w:val="00710E21"/>
    <w:rsid w:val="00711CAE"/>
    <w:rsid w:val="007153A1"/>
    <w:rsid w:val="0071703B"/>
    <w:rsid w:val="00717462"/>
    <w:rsid w:val="0072255E"/>
    <w:rsid w:val="0072374D"/>
    <w:rsid w:val="007271EF"/>
    <w:rsid w:val="00732F4A"/>
    <w:rsid w:val="0073472C"/>
    <w:rsid w:val="0073745A"/>
    <w:rsid w:val="00740091"/>
    <w:rsid w:val="00740510"/>
    <w:rsid w:val="00740A88"/>
    <w:rsid w:val="00740BCD"/>
    <w:rsid w:val="00741ED0"/>
    <w:rsid w:val="00742F70"/>
    <w:rsid w:val="00742F9C"/>
    <w:rsid w:val="007436FD"/>
    <w:rsid w:val="007438A2"/>
    <w:rsid w:val="007444EA"/>
    <w:rsid w:val="0074583F"/>
    <w:rsid w:val="007467DA"/>
    <w:rsid w:val="00754167"/>
    <w:rsid w:val="007568ED"/>
    <w:rsid w:val="00760434"/>
    <w:rsid w:val="0076216C"/>
    <w:rsid w:val="00762CF8"/>
    <w:rsid w:val="00763446"/>
    <w:rsid w:val="00765FD9"/>
    <w:rsid w:val="00767030"/>
    <w:rsid w:val="00771946"/>
    <w:rsid w:val="00776378"/>
    <w:rsid w:val="00780258"/>
    <w:rsid w:val="00783819"/>
    <w:rsid w:val="00784BF7"/>
    <w:rsid w:val="00786556"/>
    <w:rsid w:val="00786C0F"/>
    <w:rsid w:val="007870EA"/>
    <w:rsid w:val="0078734B"/>
    <w:rsid w:val="007913FB"/>
    <w:rsid w:val="007938ED"/>
    <w:rsid w:val="00795713"/>
    <w:rsid w:val="00796209"/>
    <w:rsid w:val="00796D3A"/>
    <w:rsid w:val="007A3E68"/>
    <w:rsid w:val="007A4AD3"/>
    <w:rsid w:val="007A618A"/>
    <w:rsid w:val="007A64C3"/>
    <w:rsid w:val="007A75C6"/>
    <w:rsid w:val="007B2394"/>
    <w:rsid w:val="007B66A5"/>
    <w:rsid w:val="007B7D80"/>
    <w:rsid w:val="007C2262"/>
    <w:rsid w:val="007C6619"/>
    <w:rsid w:val="007D1332"/>
    <w:rsid w:val="007D3CEB"/>
    <w:rsid w:val="007D589D"/>
    <w:rsid w:val="007D58DF"/>
    <w:rsid w:val="007D75CB"/>
    <w:rsid w:val="007E15F4"/>
    <w:rsid w:val="007E32F8"/>
    <w:rsid w:val="007E49D1"/>
    <w:rsid w:val="007E4C9C"/>
    <w:rsid w:val="007E5512"/>
    <w:rsid w:val="007E578D"/>
    <w:rsid w:val="007E748E"/>
    <w:rsid w:val="007E7C17"/>
    <w:rsid w:val="007F02E3"/>
    <w:rsid w:val="007F19D2"/>
    <w:rsid w:val="007F1F5D"/>
    <w:rsid w:val="007F2750"/>
    <w:rsid w:val="007F3FF1"/>
    <w:rsid w:val="00800B24"/>
    <w:rsid w:val="00801709"/>
    <w:rsid w:val="0081001E"/>
    <w:rsid w:val="00813947"/>
    <w:rsid w:val="00813C39"/>
    <w:rsid w:val="00813FFA"/>
    <w:rsid w:val="0081405C"/>
    <w:rsid w:val="008166F1"/>
    <w:rsid w:val="00821D54"/>
    <w:rsid w:val="00822F89"/>
    <w:rsid w:val="00823735"/>
    <w:rsid w:val="008269CE"/>
    <w:rsid w:val="00832161"/>
    <w:rsid w:val="008346DD"/>
    <w:rsid w:val="00835513"/>
    <w:rsid w:val="0083682C"/>
    <w:rsid w:val="00837776"/>
    <w:rsid w:val="0084056E"/>
    <w:rsid w:val="00840D05"/>
    <w:rsid w:val="0084175D"/>
    <w:rsid w:val="00841EBC"/>
    <w:rsid w:val="0084390E"/>
    <w:rsid w:val="0084614E"/>
    <w:rsid w:val="008462FA"/>
    <w:rsid w:val="0084722C"/>
    <w:rsid w:val="0084732E"/>
    <w:rsid w:val="00847795"/>
    <w:rsid w:val="0085413D"/>
    <w:rsid w:val="00854C7B"/>
    <w:rsid w:val="00857AAD"/>
    <w:rsid w:val="008617E1"/>
    <w:rsid w:val="00863CEA"/>
    <w:rsid w:val="008666F9"/>
    <w:rsid w:val="00867978"/>
    <w:rsid w:val="00870B86"/>
    <w:rsid w:val="0087198F"/>
    <w:rsid w:val="00874F3B"/>
    <w:rsid w:val="0087554A"/>
    <w:rsid w:val="00876776"/>
    <w:rsid w:val="00876A3D"/>
    <w:rsid w:val="00881697"/>
    <w:rsid w:val="00885F86"/>
    <w:rsid w:val="00890093"/>
    <w:rsid w:val="00891626"/>
    <w:rsid w:val="00896711"/>
    <w:rsid w:val="00896F88"/>
    <w:rsid w:val="008A251C"/>
    <w:rsid w:val="008A2A73"/>
    <w:rsid w:val="008A2F9E"/>
    <w:rsid w:val="008A3515"/>
    <w:rsid w:val="008A3BA7"/>
    <w:rsid w:val="008A60DE"/>
    <w:rsid w:val="008A6B78"/>
    <w:rsid w:val="008B0FF4"/>
    <w:rsid w:val="008B2E7D"/>
    <w:rsid w:val="008C15BB"/>
    <w:rsid w:val="008C1F7C"/>
    <w:rsid w:val="008C2FED"/>
    <w:rsid w:val="008C40E5"/>
    <w:rsid w:val="008C664D"/>
    <w:rsid w:val="008D134B"/>
    <w:rsid w:val="008D3A72"/>
    <w:rsid w:val="008D47BD"/>
    <w:rsid w:val="008D5EA9"/>
    <w:rsid w:val="008D74CA"/>
    <w:rsid w:val="008E0603"/>
    <w:rsid w:val="008E4C76"/>
    <w:rsid w:val="008E672A"/>
    <w:rsid w:val="008E7271"/>
    <w:rsid w:val="008F0498"/>
    <w:rsid w:val="008F12A8"/>
    <w:rsid w:val="008F289D"/>
    <w:rsid w:val="008F6F1C"/>
    <w:rsid w:val="008F7B1F"/>
    <w:rsid w:val="009031A9"/>
    <w:rsid w:val="009072A9"/>
    <w:rsid w:val="009152C0"/>
    <w:rsid w:val="009174C6"/>
    <w:rsid w:val="00921F53"/>
    <w:rsid w:val="00922581"/>
    <w:rsid w:val="009247F7"/>
    <w:rsid w:val="00924D72"/>
    <w:rsid w:val="00924FB1"/>
    <w:rsid w:val="009254B5"/>
    <w:rsid w:val="00925D72"/>
    <w:rsid w:val="009304B9"/>
    <w:rsid w:val="009341EB"/>
    <w:rsid w:val="00936858"/>
    <w:rsid w:val="0094146E"/>
    <w:rsid w:val="00941FA7"/>
    <w:rsid w:val="00941FF0"/>
    <w:rsid w:val="009426A8"/>
    <w:rsid w:val="009432C9"/>
    <w:rsid w:val="0094412C"/>
    <w:rsid w:val="00945451"/>
    <w:rsid w:val="00945A8F"/>
    <w:rsid w:val="00946FFB"/>
    <w:rsid w:val="00950056"/>
    <w:rsid w:val="00950322"/>
    <w:rsid w:val="00950859"/>
    <w:rsid w:val="009529A7"/>
    <w:rsid w:val="0095390E"/>
    <w:rsid w:val="00955511"/>
    <w:rsid w:val="00956659"/>
    <w:rsid w:val="009569A3"/>
    <w:rsid w:val="00965E7D"/>
    <w:rsid w:val="0096654C"/>
    <w:rsid w:val="0097097D"/>
    <w:rsid w:val="009762C9"/>
    <w:rsid w:val="00981398"/>
    <w:rsid w:val="009862CE"/>
    <w:rsid w:val="0098687C"/>
    <w:rsid w:val="0098707D"/>
    <w:rsid w:val="00987915"/>
    <w:rsid w:val="009879A7"/>
    <w:rsid w:val="00987EA8"/>
    <w:rsid w:val="00987F8F"/>
    <w:rsid w:val="00991654"/>
    <w:rsid w:val="009A3FE0"/>
    <w:rsid w:val="009A4D6E"/>
    <w:rsid w:val="009A68DF"/>
    <w:rsid w:val="009A7279"/>
    <w:rsid w:val="009A72EC"/>
    <w:rsid w:val="009B0F6C"/>
    <w:rsid w:val="009B34DF"/>
    <w:rsid w:val="009B3750"/>
    <w:rsid w:val="009B43FC"/>
    <w:rsid w:val="009B4A35"/>
    <w:rsid w:val="009B5327"/>
    <w:rsid w:val="009B5845"/>
    <w:rsid w:val="009B78C2"/>
    <w:rsid w:val="009C114A"/>
    <w:rsid w:val="009C2668"/>
    <w:rsid w:val="009C4BE7"/>
    <w:rsid w:val="009D080D"/>
    <w:rsid w:val="009D3001"/>
    <w:rsid w:val="009D506A"/>
    <w:rsid w:val="009E288E"/>
    <w:rsid w:val="009E5BC3"/>
    <w:rsid w:val="009E5E11"/>
    <w:rsid w:val="009E5FCF"/>
    <w:rsid w:val="009F1BC5"/>
    <w:rsid w:val="009F230D"/>
    <w:rsid w:val="009F2590"/>
    <w:rsid w:val="009F3491"/>
    <w:rsid w:val="009F7CF3"/>
    <w:rsid w:val="00A01197"/>
    <w:rsid w:val="00A01F85"/>
    <w:rsid w:val="00A04E11"/>
    <w:rsid w:val="00A06932"/>
    <w:rsid w:val="00A10965"/>
    <w:rsid w:val="00A14143"/>
    <w:rsid w:val="00A144DF"/>
    <w:rsid w:val="00A15875"/>
    <w:rsid w:val="00A169B8"/>
    <w:rsid w:val="00A16D73"/>
    <w:rsid w:val="00A22754"/>
    <w:rsid w:val="00A23BC7"/>
    <w:rsid w:val="00A24A33"/>
    <w:rsid w:val="00A2505B"/>
    <w:rsid w:val="00A26D0E"/>
    <w:rsid w:val="00A276C5"/>
    <w:rsid w:val="00A32F97"/>
    <w:rsid w:val="00A341C3"/>
    <w:rsid w:val="00A376E9"/>
    <w:rsid w:val="00A37A3D"/>
    <w:rsid w:val="00A37D51"/>
    <w:rsid w:val="00A41A14"/>
    <w:rsid w:val="00A443E1"/>
    <w:rsid w:val="00A44E53"/>
    <w:rsid w:val="00A45ED2"/>
    <w:rsid w:val="00A514D1"/>
    <w:rsid w:val="00A52285"/>
    <w:rsid w:val="00A5298F"/>
    <w:rsid w:val="00A53668"/>
    <w:rsid w:val="00A55253"/>
    <w:rsid w:val="00A56CE8"/>
    <w:rsid w:val="00A57B30"/>
    <w:rsid w:val="00A636B2"/>
    <w:rsid w:val="00A64030"/>
    <w:rsid w:val="00A675AE"/>
    <w:rsid w:val="00A70380"/>
    <w:rsid w:val="00A7129F"/>
    <w:rsid w:val="00A73252"/>
    <w:rsid w:val="00A74301"/>
    <w:rsid w:val="00A761D0"/>
    <w:rsid w:val="00A76B67"/>
    <w:rsid w:val="00A77BE4"/>
    <w:rsid w:val="00A77D1D"/>
    <w:rsid w:val="00A80F16"/>
    <w:rsid w:val="00A819F7"/>
    <w:rsid w:val="00A8282C"/>
    <w:rsid w:val="00A829DE"/>
    <w:rsid w:val="00A83EC9"/>
    <w:rsid w:val="00A85330"/>
    <w:rsid w:val="00A9038D"/>
    <w:rsid w:val="00A905D1"/>
    <w:rsid w:val="00A922D3"/>
    <w:rsid w:val="00A9420B"/>
    <w:rsid w:val="00A944EB"/>
    <w:rsid w:val="00A953F2"/>
    <w:rsid w:val="00A95D2F"/>
    <w:rsid w:val="00A9739C"/>
    <w:rsid w:val="00A97E33"/>
    <w:rsid w:val="00AA7509"/>
    <w:rsid w:val="00AA75D8"/>
    <w:rsid w:val="00AB0E1A"/>
    <w:rsid w:val="00AB104C"/>
    <w:rsid w:val="00AB2BEF"/>
    <w:rsid w:val="00AB39D2"/>
    <w:rsid w:val="00AB3C5B"/>
    <w:rsid w:val="00AB4E7D"/>
    <w:rsid w:val="00AB4F8D"/>
    <w:rsid w:val="00AC080E"/>
    <w:rsid w:val="00AC13AD"/>
    <w:rsid w:val="00AC2E03"/>
    <w:rsid w:val="00AC31AA"/>
    <w:rsid w:val="00AC7EC8"/>
    <w:rsid w:val="00AD04F0"/>
    <w:rsid w:val="00AD25A0"/>
    <w:rsid w:val="00AD3B26"/>
    <w:rsid w:val="00AD6429"/>
    <w:rsid w:val="00AD6F8B"/>
    <w:rsid w:val="00AE05F5"/>
    <w:rsid w:val="00AE3F69"/>
    <w:rsid w:val="00AE7DA0"/>
    <w:rsid w:val="00AF197A"/>
    <w:rsid w:val="00AF1A86"/>
    <w:rsid w:val="00AF2C50"/>
    <w:rsid w:val="00AF5097"/>
    <w:rsid w:val="00B00901"/>
    <w:rsid w:val="00B02FB4"/>
    <w:rsid w:val="00B03978"/>
    <w:rsid w:val="00B040EA"/>
    <w:rsid w:val="00B056BC"/>
    <w:rsid w:val="00B1336F"/>
    <w:rsid w:val="00B160CC"/>
    <w:rsid w:val="00B219AD"/>
    <w:rsid w:val="00B221B7"/>
    <w:rsid w:val="00B2283C"/>
    <w:rsid w:val="00B231F5"/>
    <w:rsid w:val="00B23BE5"/>
    <w:rsid w:val="00B270AF"/>
    <w:rsid w:val="00B273BB"/>
    <w:rsid w:val="00B27D6D"/>
    <w:rsid w:val="00B30207"/>
    <w:rsid w:val="00B335AB"/>
    <w:rsid w:val="00B3427B"/>
    <w:rsid w:val="00B36700"/>
    <w:rsid w:val="00B37D89"/>
    <w:rsid w:val="00B4337A"/>
    <w:rsid w:val="00B4388F"/>
    <w:rsid w:val="00B45633"/>
    <w:rsid w:val="00B45A57"/>
    <w:rsid w:val="00B46344"/>
    <w:rsid w:val="00B46E64"/>
    <w:rsid w:val="00B50AE8"/>
    <w:rsid w:val="00B520D8"/>
    <w:rsid w:val="00B52EEA"/>
    <w:rsid w:val="00B530B6"/>
    <w:rsid w:val="00B551DD"/>
    <w:rsid w:val="00B60EE8"/>
    <w:rsid w:val="00B6101A"/>
    <w:rsid w:val="00B61655"/>
    <w:rsid w:val="00B61C1D"/>
    <w:rsid w:val="00B6458A"/>
    <w:rsid w:val="00B71A6A"/>
    <w:rsid w:val="00B72607"/>
    <w:rsid w:val="00B727AC"/>
    <w:rsid w:val="00B72F78"/>
    <w:rsid w:val="00B738E6"/>
    <w:rsid w:val="00B768E5"/>
    <w:rsid w:val="00B77C0A"/>
    <w:rsid w:val="00B80211"/>
    <w:rsid w:val="00B81353"/>
    <w:rsid w:val="00B84680"/>
    <w:rsid w:val="00B85F4C"/>
    <w:rsid w:val="00B871D0"/>
    <w:rsid w:val="00B906AA"/>
    <w:rsid w:val="00B92A1A"/>
    <w:rsid w:val="00B92F91"/>
    <w:rsid w:val="00B962B2"/>
    <w:rsid w:val="00B97E22"/>
    <w:rsid w:val="00BA0697"/>
    <w:rsid w:val="00BA083D"/>
    <w:rsid w:val="00BA29E8"/>
    <w:rsid w:val="00BA2D3C"/>
    <w:rsid w:val="00BA70B1"/>
    <w:rsid w:val="00BA74D0"/>
    <w:rsid w:val="00BB074D"/>
    <w:rsid w:val="00BB1133"/>
    <w:rsid w:val="00BB2BCF"/>
    <w:rsid w:val="00BB4F51"/>
    <w:rsid w:val="00BB64E5"/>
    <w:rsid w:val="00BB68A2"/>
    <w:rsid w:val="00BC204B"/>
    <w:rsid w:val="00BD30BB"/>
    <w:rsid w:val="00BD31C3"/>
    <w:rsid w:val="00BD31E2"/>
    <w:rsid w:val="00BD366E"/>
    <w:rsid w:val="00BD61EA"/>
    <w:rsid w:val="00BE145D"/>
    <w:rsid w:val="00BE1480"/>
    <w:rsid w:val="00BE2C26"/>
    <w:rsid w:val="00BE42A6"/>
    <w:rsid w:val="00BE5F9A"/>
    <w:rsid w:val="00BF1AA6"/>
    <w:rsid w:val="00BF2039"/>
    <w:rsid w:val="00BF2455"/>
    <w:rsid w:val="00BF3520"/>
    <w:rsid w:val="00BF3679"/>
    <w:rsid w:val="00BF4AA6"/>
    <w:rsid w:val="00BF50AA"/>
    <w:rsid w:val="00BF561B"/>
    <w:rsid w:val="00BF7149"/>
    <w:rsid w:val="00C00629"/>
    <w:rsid w:val="00C031C5"/>
    <w:rsid w:val="00C039C6"/>
    <w:rsid w:val="00C03D17"/>
    <w:rsid w:val="00C03FFF"/>
    <w:rsid w:val="00C05423"/>
    <w:rsid w:val="00C0552A"/>
    <w:rsid w:val="00C060F4"/>
    <w:rsid w:val="00C1169F"/>
    <w:rsid w:val="00C1325E"/>
    <w:rsid w:val="00C1362C"/>
    <w:rsid w:val="00C1632A"/>
    <w:rsid w:val="00C16757"/>
    <w:rsid w:val="00C276D4"/>
    <w:rsid w:val="00C27E13"/>
    <w:rsid w:val="00C33185"/>
    <w:rsid w:val="00C34683"/>
    <w:rsid w:val="00C34DAE"/>
    <w:rsid w:val="00C3763A"/>
    <w:rsid w:val="00C47F3C"/>
    <w:rsid w:val="00C507E0"/>
    <w:rsid w:val="00C50CF0"/>
    <w:rsid w:val="00C530BA"/>
    <w:rsid w:val="00C53992"/>
    <w:rsid w:val="00C64A30"/>
    <w:rsid w:val="00C64B95"/>
    <w:rsid w:val="00C6717F"/>
    <w:rsid w:val="00C672C3"/>
    <w:rsid w:val="00C70704"/>
    <w:rsid w:val="00C70BE2"/>
    <w:rsid w:val="00C71D0D"/>
    <w:rsid w:val="00C72973"/>
    <w:rsid w:val="00C74228"/>
    <w:rsid w:val="00C74ED5"/>
    <w:rsid w:val="00C7587A"/>
    <w:rsid w:val="00C76CA0"/>
    <w:rsid w:val="00C77B2C"/>
    <w:rsid w:val="00C8171F"/>
    <w:rsid w:val="00C82664"/>
    <w:rsid w:val="00C8725D"/>
    <w:rsid w:val="00C928D9"/>
    <w:rsid w:val="00C932CA"/>
    <w:rsid w:val="00C94C73"/>
    <w:rsid w:val="00C95907"/>
    <w:rsid w:val="00C97A47"/>
    <w:rsid w:val="00CA05C2"/>
    <w:rsid w:val="00CA0A75"/>
    <w:rsid w:val="00CA0A7D"/>
    <w:rsid w:val="00CA0FA6"/>
    <w:rsid w:val="00CA2F01"/>
    <w:rsid w:val="00CA4371"/>
    <w:rsid w:val="00CA468B"/>
    <w:rsid w:val="00CA4DFC"/>
    <w:rsid w:val="00CA6A66"/>
    <w:rsid w:val="00CA7B65"/>
    <w:rsid w:val="00CB003F"/>
    <w:rsid w:val="00CB0991"/>
    <w:rsid w:val="00CB18C4"/>
    <w:rsid w:val="00CB2520"/>
    <w:rsid w:val="00CB5CD2"/>
    <w:rsid w:val="00CC354E"/>
    <w:rsid w:val="00CC5C2C"/>
    <w:rsid w:val="00CC647F"/>
    <w:rsid w:val="00CD02B4"/>
    <w:rsid w:val="00CD1D9F"/>
    <w:rsid w:val="00CD20D4"/>
    <w:rsid w:val="00CD477B"/>
    <w:rsid w:val="00CE03DA"/>
    <w:rsid w:val="00CE23BA"/>
    <w:rsid w:val="00CE4145"/>
    <w:rsid w:val="00CE4E1D"/>
    <w:rsid w:val="00CE5A72"/>
    <w:rsid w:val="00CF257E"/>
    <w:rsid w:val="00CF6807"/>
    <w:rsid w:val="00CF763D"/>
    <w:rsid w:val="00CF7B4A"/>
    <w:rsid w:val="00CF7C02"/>
    <w:rsid w:val="00D06130"/>
    <w:rsid w:val="00D0624A"/>
    <w:rsid w:val="00D06C54"/>
    <w:rsid w:val="00D10D30"/>
    <w:rsid w:val="00D124E2"/>
    <w:rsid w:val="00D20BAB"/>
    <w:rsid w:val="00D21E6D"/>
    <w:rsid w:val="00D226F2"/>
    <w:rsid w:val="00D24D6F"/>
    <w:rsid w:val="00D250F7"/>
    <w:rsid w:val="00D26E9E"/>
    <w:rsid w:val="00D275FE"/>
    <w:rsid w:val="00D302A4"/>
    <w:rsid w:val="00D310E7"/>
    <w:rsid w:val="00D3116F"/>
    <w:rsid w:val="00D32DCA"/>
    <w:rsid w:val="00D36F82"/>
    <w:rsid w:val="00D42596"/>
    <w:rsid w:val="00D45F90"/>
    <w:rsid w:val="00D508ED"/>
    <w:rsid w:val="00D50AD2"/>
    <w:rsid w:val="00D51DF5"/>
    <w:rsid w:val="00D549ED"/>
    <w:rsid w:val="00D54C02"/>
    <w:rsid w:val="00D55F9C"/>
    <w:rsid w:val="00D5605C"/>
    <w:rsid w:val="00D62E78"/>
    <w:rsid w:val="00D63BDA"/>
    <w:rsid w:val="00D70D99"/>
    <w:rsid w:val="00D72E2A"/>
    <w:rsid w:val="00D7361C"/>
    <w:rsid w:val="00D740B1"/>
    <w:rsid w:val="00D81E27"/>
    <w:rsid w:val="00D8642B"/>
    <w:rsid w:val="00D8707E"/>
    <w:rsid w:val="00D90066"/>
    <w:rsid w:val="00D9220A"/>
    <w:rsid w:val="00D942CA"/>
    <w:rsid w:val="00D9508C"/>
    <w:rsid w:val="00D968A5"/>
    <w:rsid w:val="00D97FFD"/>
    <w:rsid w:val="00DA10B5"/>
    <w:rsid w:val="00DA7D74"/>
    <w:rsid w:val="00DB32C3"/>
    <w:rsid w:val="00DB5385"/>
    <w:rsid w:val="00DB5852"/>
    <w:rsid w:val="00DC7774"/>
    <w:rsid w:val="00DD0A80"/>
    <w:rsid w:val="00DD0C31"/>
    <w:rsid w:val="00DD0DD6"/>
    <w:rsid w:val="00DD30A9"/>
    <w:rsid w:val="00DD351F"/>
    <w:rsid w:val="00DD4B13"/>
    <w:rsid w:val="00DE110E"/>
    <w:rsid w:val="00DE4880"/>
    <w:rsid w:val="00DE50BF"/>
    <w:rsid w:val="00DF1ED8"/>
    <w:rsid w:val="00DF2F33"/>
    <w:rsid w:val="00DF3511"/>
    <w:rsid w:val="00E00AE3"/>
    <w:rsid w:val="00E02AF9"/>
    <w:rsid w:val="00E03870"/>
    <w:rsid w:val="00E0529F"/>
    <w:rsid w:val="00E05655"/>
    <w:rsid w:val="00E0778A"/>
    <w:rsid w:val="00E11A1D"/>
    <w:rsid w:val="00E12279"/>
    <w:rsid w:val="00E14A6F"/>
    <w:rsid w:val="00E16442"/>
    <w:rsid w:val="00E17407"/>
    <w:rsid w:val="00E2284C"/>
    <w:rsid w:val="00E22E83"/>
    <w:rsid w:val="00E23343"/>
    <w:rsid w:val="00E25EF5"/>
    <w:rsid w:val="00E26423"/>
    <w:rsid w:val="00E31A4B"/>
    <w:rsid w:val="00E33402"/>
    <w:rsid w:val="00E3377C"/>
    <w:rsid w:val="00E36BE9"/>
    <w:rsid w:val="00E40854"/>
    <w:rsid w:val="00E435BB"/>
    <w:rsid w:val="00E44486"/>
    <w:rsid w:val="00E444E5"/>
    <w:rsid w:val="00E44BD0"/>
    <w:rsid w:val="00E457FC"/>
    <w:rsid w:val="00E45EA7"/>
    <w:rsid w:val="00E45EE9"/>
    <w:rsid w:val="00E52B02"/>
    <w:rsid w:val="00E53335"/>
    <w:rsid w:val="00E53B58"/>
    <w:rsid w:val="00E53F59"/>
    <w:rsid w:val="00E56B9F"/>
    <w:rsid w:val="00E630AF"/>
    <w:rsid w:val="00E63ACB"/>
    <w:rsid w:val="00E73319"/>
    <w:rsid w:val="00E7540D"/>
    <w:rsid w:val="00E76520"/>
    <w:rsid w:val="00E84626"/>
    <w:rsid w:val="00E85BDB"/>
    <w:rsid w:val="00E85D70"/>
    <w:rsid w:val="00E8630D"/>
    <w:rsid w:val="00E900BC"/>
    <w:rsid w:val="00E91E88"/>
    <w:rsid w:val="00E937F7"/>
    <w:rsid w:val="00E95516"/>
    <w:rsid w:val="00EA49E0"/>
    <w:rsid w:val="00EA5ED1"/>
    <w:rsid w:val="00EA60DB"/>
    <w:rsid w:val="00EB3E99"/>
    <w:rsid w:val="00EB70AF"/>
    <w:rsid w:val="00EC06EE"/>
    <w:rsid w:val="00EC1137"/>
    <w:rsid w:val="00EC742A"/>
    <w:rsid w:val="00EC7529"/>
    <w:rsid w:val="00ED01D0"/>
    <w:rsid w:val="00ED05CA"/>
    <w:rsid w:val="00ED1B0D"/>
    <w:rsid w:val="00ED2694"/>
    <w:rsid w:val="00ED3571"/>
    <w:rsid w:val="00ED6305"/>
    <w:rsid w:val="00EE0C96"/>
    <w:rsid w:val="00EE1174"/>
    <w:rsid w:val="00EE3EFF"/>
    <w:rsid w:val="00EE5494"/>
    <w:rsid w:val="00EE5809"/>
    <w:rsid w:val="00EE5BB5"/>
    <w:rsid w:val="00EE71C9"/>
    <w:rsid w:val="00EE7AFE"/>
    <w:rsid w:val="00EF2F0D"/>
    <w:rsid w:val="00EF426F"/>
    <w:rsid w:val="00EF52C4"/>
    <w:rsid w:val="00EF5EAF"/>
    <w:rsid w:val="00F04E09"/>
    <w:rsid w:val="00F053B5"/>
    <w:rsid w:val="00F05685"/>
    <w:rsid w:val="00F056B4"/>
    <w:rsid w:val="00F05AE0"/>
    <w:rsid w:val="00F110F0"/>
    <w:rsid w:val="00F12C73"/>
    <w:rsid w:val="00F13DD9"/>
    <w:rsid w:val="00F14E6D"/>
    <w:rsid w:val="00F17670"/>
    <w:rsid w:val="00F22684"/>
    <w:rsid w:val="00F22DFA"/>
    <w:rsid w:val="00F23FFA"/>
    <w:rsid w:val="00F304C2"/>
    <w:rsid w:val="00F42264"/>
    <w:rsid w:val="00F4241C"/>
    <w:rsid w:val="00F4458B"/>
    <w:rsid w:val="00F450B0"/>
    <w:rsid w:val="00F4572A"/>
    <w:rsid w:val="00F46F34"/>
    <w:rsid w:val="00F5203C"/>
    <w:rsid w:val="00F52A6C"/>
    <w:rsid w:val="00F52BBF"/>
    <w:rsid w:val="00F54B6C"/>
    <w:rsid w:val="00F6522E"/>
    <w:rsid w:val="00F7059E"/>
    <w:rsid w:val="00F73170"/>
    <w:rsid w:val="00F74E76"/>
    <w:rsid w:val="00F75CD9"/>
    <w:rsid w:val="00F81393"/>
    <w:rsid w:val="00F82612"/>
    <w:rsid w:val="00F82A1B"/>
    <w:rsid w:val="00F8534B"/>
    <w:rsid w:val="00F90C66"/>
    <w:rsid w:val="00F917BA"/>
    <w:rsid w:val="00F9390A"/>
    <w:rsid w:val="00F96FF9"/>
    <w:rsid w:val="00F97B1F"/>
    <w:rsid w:val="00FA0210"/>
    <w:rsid w:val="00FA0C92"/>
    <w:rsid w:val="00FA424B"/>
    <w:rsid w:val="00FA57D9"/>
    <w:rsid w:val="00FB2A38"/>
    <w:rsid w:val="00FB3149"/>
    <w:rsid w:val="00FB3349"/>
    <w:rsid w:val="00FB36AB"/>
    <w:rsid w:val="00FB3C6C"/>
    <w:rsid w:val="00FB58D2"/>
    <w:rsid w:val="00FB6CB8"/>
    <w:rsid w:val="00FB6E13"/>
    <w:rsid w:val="00FB6ED9"/>
    <w:rsid w:val="00FB7C7E"/>
    <w:rsid w:val="00FC09C8"/>
    <w:rsid w:val="00FC1AFF"/>
    <w:rsid w:val="00FC342F"/>
    <w:rsid w:val="00FC3D98"/>
    <w:rsid w:val="00FC5BE2"/>
    <w:rsid w:val="00FC5F4A"/>
    <w:rsid w:val="00FD1221"/>
    <w:rsid w:val="00FD26D9"/>
    <w:rsid w:val="00FD55B7"/>
    <w:rsid w:val="00FE11A8"/>
    <w:rsid w:val="00FE2847"/>
    <w:rsid w:val="00FE3B24"/>
    <w:rsid w:val="00FE75FB"/>
    <w:rsid w:val="00FF1BBA"/>
    <w:rsid w:val="00FF5DD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61">
      <o:colormru v:ext="edit" colors="#581d74,#e9dddd,#e7d5e7,#a678ae,#c5b5b9"/>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2" w:semiHidden="1" w:uiPriority="1" w:unhideWhenUsed="1" w:qFormat="1"/>
    <w:lsdException w:name="heading 3" w:semiHidden="1"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footer" w:uiPriority="99"/>
    <w:lsdException w:name="caption" w:semiHidden="1" w:uiPriority="35" w:unhideWhenUsed="1" w:qFormat="1"/>
    <w:lsdException w:name="footnote reference" w:uiPriority="99"/>
    <w:lsdException w:name="annotation reference" w:uiPriority="99"/>
    <w:lsdException w:name="List Bullet" w:uiPriority="1" w:qFormat="1"/>
    <w:lsdException w:name="List Number" w:uiPriority="1" w:qFormat="1"/>
    <w:lsdException w:name="List Number 2" w:uiPriority="1" w:qFormat="1"/>
    <w:lsdException w:name="Strong" w:qFormat="1"/>
    <w:lsdException w:name="Emphasis"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7C41"/>
    <w:pPr>
      <w:spacing w:after="0" w:line="240" w:lineRule="auto"/>
      <w:jc w:val="both"/>
    </w:pPr>
    <w:rPr>
      <w:rFonts w:ascii="Verdana" w:hAnsi="Verdana"/>
    </w:rPr>
  </w:style>
  <w:style w:type="paragraph" w:styleId="Titre2">
    <w:name w:val="heading 2"/>
    <w:aliases w:val="Titre violet"/>
    <w:basedOn w:val="Normal"/>
    <w:next w:val="Normal"/>
    <w:link w:val="Titre2Car"/>
    <w:uiPriority w:val="1"/>
    <w:semiHidden/>
    <w:unhideWhenUsed/>
    <w:qFormat/>
    <w:rsid w:val="00572D78"/>
    <w:pPr>
      <w:keepNext/>
      <w:keepLines/>
      <w:spacing w:before="360" w:after="60"/>
      <w:jc w:val="left"/>
      <w:outlineLvl w:val="1"/>
    </w:pPr>
    <w:rPr>
      <w:rFonts w:eastAsia="Times New Roman" w:cs="Cordia New"/>
      <w:b/>
      <w:caps/>
      <w:noProof/>
      <w:color w:val="581D74"/>
      <w:kern w:val="20"/>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customStyle="1" w:styleId="Titreducommuniqu">
    <w:name w:val="Titre du communiqué"/>
    <w:basedOn w:val="Normal"/>
    <w:rPr>
      <w:color w:val="000000"/>
      <w:sz w:val="36"/>
    </w:rPr>
  </w:style>
  <w:style w:type="paragraph" w:customStyle="1" w:styleId="Dateducommuniqu">
    <w:name w:val="Date du communiqué"/>
    <w:basedOn w:val="Normal"/>
    <w:pPr>
      <w:spacing w:line="300" w:lineRule="atLeast"/>
    </w:pPr>
    <w:rPr>
      <w:color w:val="501964"/>
      <w:sz w:val="28"/>
    </w:rPr>
  </w:style>
  <w:style w:type="paragraph" w:customStyle="1" w:styleId="Titreparagraphe">
    <w:name w:val="Titre paragraphe"/>
    <w:basedOn w:val="Normal"/>
    <w:link w:val="TitreparagrapheCar"/>
    <w:pPr>
      <w:spacing w:before="240"/>
    </w:pPr>
    <w:rPr>
      <w:b/>
      <w:color w:val="501964"/>
    </w:rPr>
  </w:style>
  <w:style w:type="character" w:styleId="Lienhypertexte">
    <w:name w:val="Hyperlink"/>
    <w:basedOn w:val="Policepardfaut"/>
    <w:rPr>
      <w:color w:val="0000FF"/>
      <w:u w:val="single"/>
    </w:rPr>
  </w:style>
  <w:style w:type="character" w:styleId="Numrodepage">
    <w:name w:val="page number"/>
    <w:basedOn w:val="Policepardfaut"/>
    <w:rsid w:val="008A3BA7"/>
  </w:style>
  <w:style w:type="paragraph" w:styleId="Textedebulles">
    <w:name w:val="Balloon Text"/>
    <w:basedOn w:val="Normal"/>
    <w:link w:val="TextedebullesCar"/>
    <w:semiHidden/>
    <w:rsid w:val="00100D2B"/>
    <w:rPr>
      <w:rFonts w:ascii="Tahoma" w:hAnsi="Tahoma" w:cs="Tahoma"/>
      <w:sz w:val="16"/>
      <w:szCs w:val="16"/>
    </w:rPr>
  </w:style>
  <w:style w:type="table" w:styleId="Grilledutableau">
    <w:name w:val="Table Grid"/>
    <w:basedOn w:val="TableauNormal"/>
    <w:rsid w:val="000901A2"/>
    <w:pPr>
      <w:spacing w:line="3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suivivisit">
    <w:name w:val="FollowedHyperlink"/>
    <w:basedOn w:val="Policepardfaut"/>
    <w:rsid w:val="000B2846"/>
    <w:rPr>
      <w:color w:val="800080"/>
      <w:u w:val="single"/>
    </w:rPr>
  </w:style>
  <w:style w:type="paragraph" w:customStyle="1" w:styleId="Titrecommuniqu">
    <w:name w:val="Titre communiqué"/>
    <w:basedOn w:val="Titreparagraphe"/>
    <w:link w:val="TitrecommuniquCar"/>
    <w:rsid w:val="00572D78"/>
    <w:pPr>
      <w:spacing w:before="0"/>
    </w:pPr>
    <w:rPr>
      <w:b w:val="0"/>
      <w:color w:val="auto"/>
      <w:sz w:val="28"/>
      <w:szCs w:val="28"/>
    </w:rPr>
  </w:style>
  <w:style w:type="paragraph" w:customStyle="1" w:styleId="Datecommuniqu">
    <w:name w:val="Date communiqué"/>
    <w:basedOn w:val="Titreparagraphe"/>
    <w:link w:val="DatecommuniquCar"/>
    <w:rsid w:val="00572D78"/>
    <w:pPr>
      <w:spacing w:before="480"/>
    </w:pPr>
    <w:rPr>
      <w:b w:val="0"/>
      <w:color w:val="581D74"/>
    </w:rPr>
  </w:style>
  <w:style w:type="character" w:customStyle="1" w:styleId="TitreparagrapheCar">
    <w:name w:val="Titre paragraphe Car"/>
    <w:basedOn w:val="Policepardfaut"/>
    <w:link w:val="Titreparagraphe"/>
    <w:rsid w:val="00572D78"/>
    <w:rPr>
      <w:rFonts w:ascii="Verdana" w:hAnsi="Verdana"/>
      <w:b/>
      <w:color w:val="501964"/>
    </w:rPr>
  </w:style>
  <w:style w:type="character" w:customStyle="1" w:styleId="TitrecommuniquCar">
    <w:name w:val="Titre communiqué Car"/>
    <w:basedOn w:val="TitreparagrapheCar"/>
    <w:link w:val="Titrecommuniqu"/>
    <w:rsid w:val="00572D78"/>
    <w:rPr>
      <w:rFonts w:ascii="Verdana" w:hAnsi="Verdana"/>
      <w:b w:val="0"/>
      <w:color w:val="501964"/>
      <w:sz w:val="28"/>
      <w:szCs w:val="28"/>
    </w:rPr>
  </w:style>
  <w:style w:type="paragraph" w:customStyle="1" w:styleId="chapcommuniqu">
    <w:name w:val="chapô communiqué"/>
    <w:basedOn w:val="Titreparagraphe"/>
    <w:link w:val="chapcommuniquCar"/>
    <w:rsid w:val="00572D78"/>
    <w:rPr>
      <w:color w:val="auto"/>
      <w:sz w:val="18"/>
      <w:szCs w:val="18"/>
    </w:rPr>
  </w:style>
  <w:style w:type="character" w:customStyle="1" w:styleId="DatecommuniquCar">
    <w:name w:val="Date communiqué Car"/>
    <w:basedOn w:val="TitreparagrapheCar"/>
    <w:link w:val="Datecommuniqu"/>
    <w:rsid w:val="00572D78"/>
    <w:rPr>
      <w:rFonts w:ascii="Verdana" w:hAnsi="Verdana"/>
      <w:b w:val="0"/>
      <w:color w:val="581D74"/>
    </w:rPr>
  </w:style>
  <w:style w:type="paragraph" w:customStyle="1" w:styleId="textecourantcommuniqu">
    <w:name w:val="texte courant communiqué"/>
    <w:basedOn w:val="Normal"/>
    <w:link w:val="textecourantcommuniquCar"/>
    <w:rsid w:val="00572D78"/>
    <w:rPr>
      <w:sz w:val="18"/>
      <w:szCs w:val="18"/>
    </w:rPr>
  </w:style>
  <w:style w:type="character" w:customStyle="1" w:styleId="chapcommuniquCar">
    <w:name w:val="chapô communiqué Car"/>
    <w:basedOn w:val="TitreparagrapheCar"/>
    <w:link w:val="chapcommuniqu"/>
    <w:rsid w:val="00572D78"/>
    <w:rPr>
      <w:rFonts w:ascii="Verdana" w:hAnsi="Verdana"/>
      <w:b/>
      <w:color w:val="501964"/>
      <w:sz w:val="18"/>
      <w:szCs w:val="18"/>
    </w:rPr>
  </w:style>
  <w:style w:type="paragraph" w:customStyle="1" w:styleId="En-tteombr">
    <w:name w:val="En-tête ombré"/>
    <w:basedOn w:val="Normal"/>
    <w:uiPriority w:val="19"/>
    <w:qFormat/>
    <w:rsid w:val="00572D78"/>
    <w:pPr>
      <w:pBdr>
        <w:top w:val="single" w:sz="2" w:space="2" w:color="581D74"/>
        <w:left w:val="single" w:sz="2" w:space="6" w:color="581D74"/>
        <w:bottom w:val="single" w:sz="2" w:space="2" w:color="581D74"/>
        <w:right w:val="single" w:sz="2" w:space="6" w:color="581D74"/>
      </w:pBdr>
      <w:shd w:val="clear" w:color="auto" w:fill="581D74"/>
      <w:spacing w:before="40"/>
      <w:ind w:left="-360" w:right="-360"/>
    </w:pPr>
    <w:rPr>
      <w:rFonts w:eastAsia="Times New Roman" w:cs="Cordia New"/>
      <w:caps/>
      <w:noProof/>
      <w:color w:val="FFFFFF"/>
      <w:kern w:val="20"/>
      <w:sz w:val="28"/>
      <w:szCs w:val="28"/>
    </w:rPr>
  </w:style>
  <w:style w:type="character" w:customStyle="1" w:styleId="textecourantcommuniquCar">
    <w:name w:val="texte courant communiqué Car"/>
    <w:basedOn w:val="Policepardfaut"/>
    <w:link w:val="textecourantcommuniqu"/>
    <w:rsid w:val="00572D78"/>
    <w:rPr>
      <w:rFonts w:ascii="Verdana" w:hAnsi="Verdana"/>
      <w:sz w:val="18"/>
      <w:szCs w:val="18"/>
    </w:rPr>
  </w:style>
  <w:style w:type="paragraph" w:customStyle="1" w:styleId="Titre1">
    <w:name w:val="Titre1"/>
    <w:link w:val="Titre1Car"/>
    <w:qFormat/>
    <w:rsid w:val="00572D78"/>
    <w:rPr>
      <w:rFonts w:ascii="Verdana" w:eastAsiaTheme="majorEastAsia" w:hAnsi="Verdana" w:cstheme="majorBidi"/>
      <w:bCs/>
      <w:color w:val="411556" w:themeColor="accent1" w:themeShade="BF"/>
      <w:sz w:val="36"/>
      <w:szCs w:val="36"/>
    </w:rPr>
  </w:style>
  <w:style w:type="character" w:customStyle="1" w:styleId="Titre1Car">
    <w:name w:val="Titre1 Car"/>
    <w:basedOn w:val="Policepardfaut"/>
    <w:link w:val="Titre1"/>
    <w:rsid w:val="00572D78"/>
    <w:rPr>
      <w:rFonts w:ascii="Verdana" w:eastAsiaTheme="majorEastAsia" w:hAnsi="Verdana" w:cstheme="majorBidi"/>
      <w:bCs/>
      <w:color w:val="411556" w:themeColor="accent1" w:themeShade="BF"/>
      <w:sz w:val="36"/>
      <w:szCs w:val="36"/>
    </w:rPr>
  </w:style>
  <w:style w:type="paragraph" w:customStyle="1" w:styleId="Italique">
    <w:name w:val="Italique"/>
    <w:basedOn w:val="Normal"/>
    <w:link w:val="ItaliqueCar"/>
    <w:qFormat/>
    <w:rsid w:val="00572D78"/>
    <w:pPr>
      <w:ind w:left="360" w:hanging="360"/>
    </w:pPr>
    <w:rPr>
      <w:rFonts w:eastAsia="Cambria" w:cs="Angsana New"/>
      <w:i/>
      <w:noProof/>
      <w:kern w:val="20"/>
      <w:sz w:val="20"/>
      <w:szCs w:val="20"/>
    </w:rPr>
  </w:style>
  <w:style w:type="character" w:customStyle="1" w:styleId="ItaliqueCar">
    <w:name w:val="Italique Car"/>
    <w:basedOn w:val="ListenumrosCar"/>
    <w:link w:val="Italique"/>
    <w:rsid w:val="00572D78"/>
    <w:rPr>
      <w:rFonts w:ascii="Verdana" w:eastAsia="Cambria" w:hAnsi="Verdana" w:cs="Angsana New"/>
      <w:i/>
      <w:noProof/>
      <w:kern w:val="20"/>
      <w:sz w:val="20"/>
      <w:szCs w:val="20"/>
    </w:rPr>
  </w:style>
  <w:style w:type="paragraph" w:customStyle="1" w:styleId="Notebasdepage">
    <w:name w:val="Note bas de page"/>
    <w:basedOn w:val="Notedefin"/>
    <w:link w:val="NotebasdepageCar"/>
    <w:qFormat/>
    <w:rsid w:val="00572D78"/>
    <w:rPr>
      <w:sz w:val="18"/>
      <w:szCs w:val="18"/>
    </w:rPr>
  </w:style>
  <w:style w:type="character" w:customStyle="1" w:styleId="NotebasdepageCar">
    <w:name w:val="Note bas de page Car"/>
    <w:basedOn w:val="NotedefinCar"/>
    <w:link w:val="Notebasdepage"/>
    <w:rsid w:val="00572D78"/>
    <w:rPr>
      <w:rFonts w:ascii="Verdana" w:hAnsi="Verdana"/>
      <w:sz w:val="18"/>
      <w:szCs w:val="18"/>
    </w:rPr>
  </w:style>
  <w:style w:type="paragraph" w:styleId="Notedefin">
    <w:name w:val="endnote text"/>
    <w:basedOn w:val="Normal"/>
    <w:link w:val="NotedefinCar"/>
    <w:rsid w:val="00572D78"/>
    <w:rPr>
      <w:sz w:val="20"/>
      <w:szCs w:val="20"/>
    </w:rPr>
  </w:style>
  <w:style w:type="character" w:customStyle="1" w:styleId="NotedefinCar">
    <w:name w:val="Note de fin Car"/>
    <w:basedOn w:val="Policepardfaut"/>
    <w:link w:val="Notedefin"/>
    <w:rsid w:val="00572D78"/>
    <w:rPr>
      <w:rFonts w:ascii="Verdana" w:hAnsi="Verdana"/>
      <w:sz w:val="20"/>
      <w:szCs w:val="20"/>
    </w:rPr>
  </w:style>
  <w:style w:type="paragraph" w:customStyle="1" w:styleId="Boldviolet">
    <w:name w:val="Bold violet"/>
    <w:basedOn w:val="Normal"/>
    <w:link w:val="BoldvioletCar"/>
    <w:qFormat/>
    <w:rsid w:val="00572D78"/>
    <w:pPr>
      <w:jc w:val="left"/>
    </w:pPr>
    <w:rPr>
      <w:rFonts w:eastAsia="Times New Roman" w:cs="Times New Roman"/>
      <w:b/>
      <w:color w:val="581D74" w:themeColor="accent1"/>
      <w:sz w:val="20"/>
      <w:szCs w:val="24"/>
    </w:rPr>
  </w:style>
  <w:style w:type="character" w:customStyle="1" w:styleId="BoldvioletCar">
    <w:name w:val="Bold violet Car"/>
    <w:basedOn w:val="Policepardfaut"/>
    <w:link w:val="Boldviolet"/>
    <w:rsid w:val="00572D78"/>
    <w:rPr>
      <w:rFonts w:ascii="Verdana" w:eastAsia="Times New Roman" w:hAnsi="Verdana" w:cs="Times New Roman"/>
      <w:b/>
      <w:color w:val="581D74" w:themeColor="accent1"/>
      <w:sz w:val="20"/>
      <w:szCs w:val="24"/>
    </w:rPr>
  </w:style>
  <w:style w:type="paragraph" w:customStyle="1" w:styleId="Mentionslgales">
    <w:name w:val="Mentions légales"/>
    <w:basedOn w:val="Listepuces"/>
    <w:link w:val="MentionslgalesCar"/>
    <w:qFormat/>
    <w:rsid w:val="00572D78"/>
    <w:pPr>
      <w:ind w:left="0" w:firstLine="0"/>
      <w:jc w:val="left"/>
    </w:pPr>
    <w:rPr>
      <w:sz w:val="14"/>
      <w:szCs w:val="14"/>
    </w:rPr>
  </w:style>
  <w:style w:type="character" w:customStyle="1" w:styleId="MentionslgalesCar">
    <w:name w:val="Mentions légales Car"/>
    <w:basedOn w:val="ListepucesCar"/>
    <w:link w:val="Mentionslgales"/>
    <w:rsid w:val="00572D78"/>
    <w:rPr>
      <w:rFonts w:ascii="Verdana" w:eastAsia="Cambria" w:hAnsi="Verdana" w:cs="Angsana New"/>
      <w:noProof/>
      <w:kern w:val="20"/>
      <w:sz w:val="14"/>
      <w:szCs w:val="14"/>
    </w:rPr>
  </w:style>
  <w:style w:type="paragraph" w:styleId="Listepuces">
    <w:name w:val="List Bullet"/>
    <w:basedOn w:val="Normal"/>
    <w:link w:val="ListepucesCar"/>
    <w:uiPriority w:val="1"/>
    <w:unhideWhenUsed/>
    <w:qFormat/>
    <w:rsid w:val="00572D78"/>
    <w:pPr>
      <w:spacing w:before="40" w:after="40" w:line="288" w:lineRule="auto"/>
      <w:ind w:left="360" w:hanging="360"/>
    </w:pPr>
    <w:rPr>
      <w:rFonts w:eastAsia="Cambria" w:cs="Angsana New"/>
      <w:noProof/>
      <w:kern w:val="20"/>
      <w:sz w:val="20"/>
      <w:szCs w:val="20"/>
    </w:rPr>
  </w:style>
  <w:style w:type="character" w:customStyle="1" w:styleId="Titre2Car">
    <w:name w:val="Titre 2 Car"/>
    <w:aliases w:val="Titre violet Car"/>
    <w:basedOn w:val="Policepardfaut"/>
    <w:link w:val="Titre2"/>
    <w:uiPriority w:val="1"/>
    <w:semiHidden/>
    <w:rsid w:val="00572D78"/>
    <w:rPr>
      <w:rFonts w:ascii="Verdana" w:eastAsia="Times New Roman" w:hAnsi="Verdana" w:cs="Cordia New"/>
      <w:b/>
      <w:caps/>
      <w:noProof/>
      <w:color w:val="581D74"/>
      <w:kern w:val="20"/>
      <w:sz w:val="24"/>
      <w:szCs w:val="20"/>
    </w:rPr>
  </w:style>
  <w:style w:type="character" w:customStyle="1" w:styleId="ListepucesCar">
    <w:name w:val="Liste à puces Car"/>
    <w:basedOn w:val="Policepardfaut"/>
    <w:link w:val="Listepuces"/>
    <w:uiPriority w:val="1"/>
    <w:rsid w:val="00572D78"/>
    <w:rPr>
      <w:rFonts w:ascii="Verdana" w:eastAsia="Cambria" w:hAnsi="Verdana" w:cs="Angsana New"/>
      <w:noProof/>
      <w:kern w:val="20"/>
      <w:sz w:val="20"/>
      <w:szCs w:val="20"/>
    </w:rPr>
  </w:style>
  <w:style w:type="paragraph" w:styleId="Listenumros">
    <w:name w:val="List Number"/>
    <w:aliases w:val="Liste à numéros violet"/>
    <w:basedOn w:val="Normal"/>
    <w:link w:val="ListenumrosCar"/>
    <w:uiPriority w:val="1"/>
    <w:unhideWhenUsed/>
    <w:qFormat/>
    <w:rsid w:val="00572D78"/>
    <w:pPr>
      <w:numPr>
        <w:numId w:val="1"/>
      </w:numPr>
      <w:spacing w:before="40" w:after="160" w:line="288" w:lineRule="auto"/>
      <w:contextualSpacing/>
    </w:pPr>
    <w:rPr>
      <w:rFonts w:eastAsia="Cambria" w:cs="Angsana New"/>
      <w:noProof/>
      <w:kern w:val="20"/>
      <w:sz w:val="20"/>
      <w:szCs w:val="20"/>
    </w:rPr>
  </w:style>
  <w:style w:type="character" w:customStyle="1" w:styleId="ListenumrosCar">
    <w:name w:val="Liste à numéros Car"/>
    <w:aliases w:val="Liste à numéros violet Car"/>
    <w:basedOn w:val="Policepardfaut"/>
    <w:link w:val="Listenumros"/>
    <w:uiPriority w:val="1"/>
    <w:rsid w:val="00572D78"/>
    <w:rPr>
      <w:rFonts w:ascii="Verdana" w:eastAsia="Cambria" w:hAnsi="Verdana" w:cs="Angsana New"/>
      <w:noProof/>
      <w:kern w:val="20"/>
      <w:sz w:val="20"/>
      <w:szCs w:val="20"/>
    </w:rPr>
  </w:style>
  <w:style w:type="paragraph" w:styleId="Listenumros2">
    <w:name w:val="List Number 2"/>
    <w:aliases w:val="Liste à numéros 1"/>
    <w:basedOn w:val="Normal"/>
    <w:uiPriority w:val="1"/>
    <w:unhideWhenUsed/>
    <w:qFormat/>
    <w:rsid w:val="00572D78"/>
    <w:pPr>
      <w:numPr>
        <w:ilvl w:val="1"/>
        <w:numId w:val="1"/>
      </w:numPr>
      <w:spacing w:before="40" w:after="160" w:line="288" w:lineRule="auto"/>
      <w:contextualSpacing/>
      <w:jc w:val="left"/>
    </w:pPr>
    <w:rPr>
      <w:rFonts w:eastAsia="Cambria" w:cs="Angsana New"/>
      <w:noProof/>
      <w:color w:val="581D74"/>
      <w:kern w:val="20"/>
      <w:sz w:val="24"/>
      <w:szCs w:val="24"/>
    </w:rPr>
  </w:style>
  <w:style w:type="character" w:styleId="lev">
    <w:name w:val="Strong"/>
    <w:aliases w:val="Bold"/>
    <w:basedOn w:val="Policepardfaut"/>
    <w:qFormat/>
    <w:rsid w:val="00572D78"/>
    <w:rPr>
      <w:b/>
      <w:bCs/>
    </w:rPr>
  </w:style>
  <w:style w:type="paragraph" w:customStyle="1" w:styleId="1-TITREcommuniqu">
    <w:name w:val="1-TITRE communiqué"/>
    <w:basedOn w:val="Titrecommuniqu"/>
    <w:link w:val="1-TITREcommuniquCar"/>
    <w:qFormat/>
    <w:rsid w:val="007108CA"/>
    <w:rPr>
      <w:sz w:val="32"/>
      <w:szCs w:val="32"/>
    </w:rPr>
  </w:style>
  <w:style w:type="paragraph" w:customStyle="1" w:styleId="2-DATEcommuniqu">
    <w:name w:val="2-DATE communiqué"/>
    <w:basedOn w:val="Datecommuniqu"/>
    <w:link w:val="2-DATEcommuniquCar"/>
    <w:qFormat/>
    <w:rsid w:val="00572D78"/>
  </w:style>
  <w:style w:type="character" w:customStyle="1" w:styleId="1-TITREcommuniquCar">
    <w:name w:val="1-TITRE communiqué Car"/>
    <w:basedOn w:val="TitrecommuniquCar"/>
    <w:link w:val="1-TITREcommuniqu"/>
    <w:rsid w:val="007108CA"/>
    <w:rPr>
      <w:rFonts w:ascii="Verdana" w:hAnsi="Verdana"/>
      <w:b w:val="0"/>
      <w:color w:val="501964"/>
      <w:sz w:val="32"/>
      <w:szCs w:val="32"/>
    </w:rPr>
  </w:style>
  <w:style w:type="paragraph" w:customStyle="1" w:styleId="3-CHAPcommuniqu">
    <w:name w:val="3-CHAPÔ communiqué"/>
    <w:basedOn w:val="chapcommuniqu"/>
    <w:link w:val="3-CHAPcommuniquCar"/>
    <w:qFormat/>
    <w:rsid w:val="00A905D1"/>
    <w:rPr>
      <w:sz w:val="20"/>
      <w:szCs w:val="20"/>
    </w:rPr>
  </w:style>
  <w:style w:type="character" w:customStyle="1" w:styleId="2-DATEcommuniquCar">
    <w:name w:val="2-DATE communiqué Car"/>
    <w:basedOn w:val="DatecommuniquCar"/>
    <w:link w:val="2-DATEcommuniqu"/>
    <w:rsid w:val="00572D78"/>
    <w:rPr>
      <w:rFonts w:ascii="Verdana" w:hAnsi="Verdana"/>
      <w:b w:val="0"/>
      <w:color w:val="581D74"/>
    </w:rPr>
  </w:style>
  <w:style w:type="paragraph" w:customStyle="1" w:styleId="4-TEXTECOURANTcommuniqu">
    <w:name w:val="4-TEXTE COURANT communiqué"/>
    <w:basedOn w:val="textecourantcommuniqu"/>
    <w:link w:val="4-TEXTECOURANTcommuniquCar"/>
    <w:qFormat/>
    <w:rsid w:val="00A905D1"/>
    <w:rPr>
      <w:sz w:val="20"/>
      <w:szCs w:val="20"/>
    </w:rPr>
  </w:style>
  <w:style w:type="character" w:customStyle="1" w:styleId="3-CHAPcommuniquCar">
    <w:name w:val="3-CHAPÔ communiqué Car"/>
    <w:basedOn w:val="chapcommuniquCar"/>
    <w:link w:val="3-CHAPcommuniqu"/>
    <w:rsid w:val="00A905D1"/>
    <w:rPr>
      <w:rFonts w:ascii="Verdana" w:hAnsi="Verdana"/>
      <w:b/>
      <w:color w:val="501964"/>
      <w:sz w:val="20"/>
      <w:szCs w:val="20"/>
    </w:rPr>
  </w:style>
  <w:style w:type="paragraph" w:customStyle="1" w:styleId="5-APROPOS">
    <w:name w:val="5-A PROPOS"/>
    <w:basedOn w:val="Normal"/>
    <w:link w:val="5-APROPOSCar"/>
    <w:rsid w:val="00EC7529"/>
    <w:pPr>
      <w:pBdr>
        <w:left w:val="single" w:sz="4" w:space="4" w:color="581D74"/>
      </w:pBdr>
      <w:ind w:left="142"/>
    </w:pPr>
    <w:rPr>
      <w:i/>
      <w:sz w:val="18"/>
      <w:szCs w:val="18"/>
      <w:lang w:val="pt-BR"/>
    </w:rPr>
  </w:style>
  <w:style w:type="character" w:customStyle="1" w:styleId="4-TEXTECOURANTcommuniquCar">
    <w:name w:val="4-TEXTE COURANT communiqué Car"/>
    <w:basedOn w:val="textecourantcommuniquCar"/>
    <w:link w:val="4-TEXTECOURANTcommuniqu"/>
    <w:rsid w:val="00A905D1"/>
    <w:rPr>
      <w:rFonts w:ascii="Verdana" w:hAnsi="Verdana"/>
      <w:sz w:val="20"/>
      <w:szCs w:val="20"/>
    </w:rPr>
  </w:style>
  <w:style w:type="character" w:customStyle="1" w:styleId="5-APROPOSCar">
    <w:name w:val="5-A PROPOS Car"/>
    <w:basedOn w:val="Policepardfaut"/>
    <w:link w:val="5-APROPOS"/>
    <w:rsid w:val="00EC7529"/>
    <w:rPr>
      <w:rFonts w:ascii="Verdana" w:hAnsi="Verdana"/>
      <w:i/>
      <w:sz w:val="18"/>
      <w:szCs w:val="18"/>
      <w:lang w:val="pt-BR"/>
    </w:rPr>
  </w:style>
  <w:style w:type="paragraph" w:customStyle="1" w:styleId="5-TitreAPROPOS">
    <w:name w:val="5-Titre A PROPOS"/>
    <w:basedOn w:val="Titreparagraphe"/>
    <w:link w:val="5-TitreAPROPOSCar"/>
    <w:rsid w:val="00A905D1"/>
    <w:pPr>
      <w:pBdr>
        <w:left w:val="single" w:sz="4" w:space="4" w:color="581D74"/>
      </w:pBdr>
      <w:spacing w:before="0"/>
      <w:ind w:left="142"/>
    </w:pPr>
    <w:rPr>
      <w:color w:val="581D74"/>
      <w:sz w:val="18"/>
      <w:szCs w:val="18"/>
      <w:lang w:val="pt-BR"/>
    </w:rPr>
  </w:style>
  <w:style w:type="character" w:customStyle="1" w:styleId="5-TitreAPROPOSCar">
    <w:name w:val="5-Titre A PROPOS Car"/>
    <w:basedOn w:val="TitreparagrapheCar"/>
    <w:link w:val="5-TitreAPROPOS"/>
    <w:rsid w:val="00A905D1"/>
    <w:rPr>
      <w:rFonts w:ascii="Verdana" w:hAnsi="Verdana"/>
      <w:b/>
      <w:color w:val="581D74"/>
      <w:sz w:val="18"/>
      <w:szCs w:val="18"/>
      <w:lang w:val="pt-BR"/>
    </w:rPr>
  </w:style>
  <w:style w:type="paragraph" w:customStyle="1" w:styleId="7-APROPOS">
    <w:name w:val="7-A PROPOS"/>
    <w:basedOn w:val="Normal"/>
    <w:link w:val="7-APROPOSCar"/>
    <w:qFormat/>
    <w:rsid w:val="007108CA"/>
    <w:pPr>
      <w:pBdr>
        <w:left w:val="single" w:sz="4" w:space="4" w:color="581D74"/>
      </w:pBdr>
      <w:ind w:left="142"/>
    </w:pPr>
    <w:rPr>
      <w:i/>
      <w:sz w:val="18"/>
      <w:szCs w:val="18"/>
      <w:lang w:val="pt-BR"/>
    </w:rPr>
  </w:style>
  <w:style w:type="character" w:customStyle="1" w:styleId="7-APROPOSCar">
    <w:name w:val="7-A PROPOS Car"/>
    <w:basedOn w:val="Policepardfaut"/>
    <w:link w:val="7-APROPOS"/>
    <w:rsid w:val="007108CA"/>
    <w:rPr>
      <w:rFonts w:ascii="Verdana" w:hAnsi="Verdana"/>
      <w:i/>
      <w:sz w:val="18"/>
      <w:szCs w:val="18"/>
      <w:lang w:val="pt-BR"/>
    </w:rPr>
  </w:style>
  <w:style w:type="paragraph" w:customStyle="1" w:styleId="7-TitreAPROPOS">
    <w:name w:val="7-Titre A PROPOS"/>
    <w:basedOn w:val="Titreparagraphe"/>
    <w:link w:val="7-TitreAPROPOSCar"/>
    <w:qFormat/>
    <w:rsid w:val="007108CA"/>
    <w:pPr>
      <w:pBdr>
        <w:left w:val="single" w:sz="4" w:space="4" w:color="581D74"/>
      </w:pBdr>
      <w:spacing w:before="0"/>
      <w:ind w:left="142"/>
    </w:pPr>
    <w:rPr>
      <w:color w:val="581D74"/>
      <w:sz w:val="18"/>
      <w:szCs w:val="18"/>
      <w:lang w:val="pt-BR"/>
    </w:rPr>
  </w:style>
  <w:style w:type="paragraph" w:customStyle="1" w:styleId="5-INTER">
    <w:name w:val="5-INTER"/>
    <w:basedOn w:val="Boldviolet"/>
    <w:link w:val="5-INTERCar"/>
    <w:qFormat/>
    <w:rsid w:val="007108CA"/>
  </w:style>
  <w:style w:type="character" w:customStyle="1" w:styleId="7-TitreAPROPOSCar">
    <w:name w:val="7-Titre A PROPOS Car"/>
    <w:basedOn w:val="TitreparagrapheCar"/>
    <w:link w:val="7-TitreAPROPOS"/>
    <w:rsid w:val="007108CA"/>
    <w:rPr>
      <w:rFonts w:ascii="Verdana" w:hAnsi="Verdana"/>
      <w:b/>
      <w:color w:val="581D74"/>
      <w:sz w:val="18"/>
      <w:szCs w:val="18"/>
      <w:lang w:val="pt-BR"/>
    </w:rPr>
  </w:style>
  <w:style w:type="character" w:customStyle="1" w:styleId="5-INTERCar">
    <w:name w:val="5-INTER Car"/>
    <w:basedOn w:val="BoldvioletCar"/>
    <w:link w:val="5-INTER"/>
    <w:rsid w:val="007108CA"/>
    <w:rPr>
      <w:rFonts w:ascii="Verdana" w:eastAsia="Times New Roman" w:hAnsi="Verdana" w:cs="Times New Roman"/>
      <w:b/>
      <w:color w:val="581D74" w:themeColor="accent1"/>
      <w:sz w:val="20"/>
      <w:szCs w:val="24"/>
    </w:rPr>
  </w:style>
  <w:style w:type="paragraph" w:customStyle="1" w:styleId="6-LISTEPUCE">
    <w:name w:val="6- LISTE PUCE"/>
    <w:basedOn w:val="4-TEXTECOURANTcommuniqu"/>
    <w:link w:val="6-LISTEPUCECar"/>
    <w:qFormat/>
    <w:rsid w:val="007108CA"/>
    <w:pPr>
      <w:numPr>
        <w:numId w:val="2"/>
      </w:numPr>
    </w:pPr>
  </w:style>
  <w:style w:type="character" w:customStyle="1" w:styleId="6-LISTEPUCECar">
    <w:name w:val="6- LISTE PUCE Car"/>
    <w:basedOn w:val="4-TEXTECOURANTcommuniquCar"/>
    <w:link w:val="6-LISTEPUCE"/>
    <w:rsid w:val="007108CA"/>
    <w:rPr>
      <w:rFonts w:ascii="Verdana" w:hAnsi="Verdana"/>
      <w:sz w:val="20"/>
      <w:szCs w:val="20"/>
    </w:rPr>
  </w:style>
  <w:style w:type="paragraph" w:styleId="Notedebasdepage">
    <w:name w:val="footnote text"/>
    <w:basedOn w:val="Normal"/>
    <w:link w:val="NotedebasdepageCar"/>
    <w:uiPriority w:val="99"/>
    <w:rsid w:val="004C7B7C"/>
    <w:pPr>
      <w:spacing w:line="340" w:lineRule="atLeast"/>
      <w:jc w:val="left"/>
    </w:pPr>
    <w:rPr>
      <w:rFonts w:eastAsia="Times New Roman" w:cs="Times New Roman"/>
      <w:sz w:val="20"/>
      <w:szCs w:val="20"/>
    </w:rPr>
  </w:style>
  <w:style w:type="character" w:customStyle="1" w:styleId="NotedebasdepageCar">
    <w:name w:val="Note de bas de page Car"/>
    <w:basedOn w:val="Policepardfaut"/>
    <w:link w:val="Notedebasdepage"/>
    <w:uiPriority w:val="99"/>
    <w:rsid w:val="004C7B7C"/>
    <w:rPr>
      <w:rFonts w:ascii="Verdana" w:eastAsia="Times New Roman" w:hAnsi="Verdana" w:cs="Times New Roman"/>
      <w:sz w:val="20"/>
      <w:szCs w:val="20"/>
    </w:rPr>
  </w:style>
  <w:style w:type="character" w:styleId="Appelnotedebasdep">
    <w:name w:val="footnote reference"/>
    <w:uiPriority w:val="99"/>
    <w:rsid w:val="004C7B7C"/>
    <w:rPr>
      <w:vertAlign w:val="superscript"/>
    </w:rPr>
  </w:style>
  <w:style w:type="character" w:customStyle="1" w:styleId="PieddepageCar">
    <w:name w:val="Pied de page Car"/>
    <w:link w:val="Pieddepage"/>
    <w:uiPriority w:val="99"/>
    <w:rsid w:val="004C7B7C"/>
    <w:rPr>
      <w:rFonts w:ascii="Verdana" w:hAnsi="Verdana"/>
    </w:rPr>
  </w:style>
  <w:style w:type="paragraph" w:styleId="Paragraphedeliste">
    <w:name w:val="List Paragraph"/>
    <w:basedOn w:val="Normal"/>
    <w:uiPriority w:val="34"/>
    <w:qFormat/>
    <w:rsid w:val="004C7B7C"/>
    <w:pPr>
      <w:ind w:left="720"/>
      <w:contextualSpacing/>
    </w:pPr>
  </w:style>
  <w:style w:type="numbering" w:customStyle="1" w:styleId="Aucuneliste1">
    <w:name w:val="Aucune liste1"/>
    <w:next w:val="Aucuneliste"/>
    <w:semiHidden/>
    <w:unhideWhenUsed/>
    <w:rsid w:val="004C7B7C"/>
  </w:style>
  <w:style w:type="character" w:customStyle="1" w:styleId="En-tteCar">
    <w:name w:val="En-tête Car"/>
    <w:basedOn w:val="Policepardfaut"/>
    <w:link w:val="En-tte"/>
    <w:rsid w:val="004C7B7C"/>
    <w:rPr>
      <w:rFonts w:ascii="Verdana" w:hAnsi="Verdana"/>
    </w:rPr>
  </w:style>
  <w:style w:type="character" w:customStyle="1" w:styleId="TextebrutCar">
    <w:name w:val="Texte brut Car"/>
    <w:link w:val="Textebrut"/>
    <w:rsid w:val="004C7B7C"/>
    <w:rPr>
      <w:rFonts w:ascii="Consolas" w:hAnsi="Consolas"/>
    </w:rPr>
  </w:style>
  <w:style w:type="paragraph" w:styleId="Textebrut">
    <w:name w:val="Plain Text"/>
    <w:basedOn w:val="Normal"/>
    <w:link w:val="TextebrutCar"/>
    <w:rsid w:val="004C7B7C"/>
    <w:pPr>
      <w:jc w:val="left"/>
    </w:pPr>
    <w:rPr>
      <w:rFonts w:ascii="Consolas" w:hAnsi="Consolas"/>
    </w:rPr>
  </w:style>
  <w:style w:type="character" w:customStyle="1" w:styleId="TextebrutCar1">
    <w:name w:val="Texte brut Car1"/>
    <w:basedOn w:val="Policepardfaut"/>
    <w:uiPriority w:val="99"/>
    <w:rsid w:val="004C7B7C"/>
    <w:rPr>
      <w:rFonts w:ascii="Consolas" w:hAnsi="Consolas" w:cs="Consolas"/>
      <w:sz w:val="21"/>
      <w:szCs w:val="21"/>
    </w:rPr>
  </w:style>
  <w:style w:type="character" w:customStyle="1" w:styleId="TextedebullesCar">
    <w:name w:val="Texte de bulles Car"/>
    <w:basedOn w:val="Policepardfaut"/>
    <w:link w:val="Textedebulles"/>
    <w:semiHidden/>
    <w:rsid w:val="004C7B7C"/>
    <w:rPr>
      <w:rFonts w:ascii="Tahoma" w:hAnsi="Tahoma" w:cs="Tahoma"/>
      <w:sz w:val="16"/>
      <w:szCs w:val="16"/>
    </w:rPr>
  </w:style>
  <w:style w:type="character" w:styleId="Marquedecommentaire">
    <w:name w:val="annotation reference"/>
    <w:uiPriority w:val="99"/>
    <w:rsid w:val="004C7B7C"/>
    <w:rPr>
      <w:sz w:val="16"/>
      <w:szCs w:val="16"/>
    </w:rPr>
  </w:style>
  <w:style w:type="paragraph" w:styleId="Commentaire">
    <w:name w:val="annotation text"/>
    <w:basedOn w:val="Normal"/>
    <w:link w:val="CommentaireCar"/>
    <w:uiPriority w:val="99"/>
    <w:rsid w:val="004C7B7C"/>
    <w:pPr>
      <w:spacing w:line="340" w:lineRule="atLeast"/>
      <w:jc w:val="left"/>
    </w:pPr>
    <w:rPr>
      <w:rFonts w:eastAsia="Times New Roman" w:cs="Times New Roman"/>
      <w:sz w:val="20"/>
      <w:szCs w:val="20"/>
    </w:rPr>
  </w:style>
  <w:style w:type="character" w:customStyle="1" w:styleId="CommentaireCar">
    <w:name w:val="Commentaire Car"/>
    <w:basedOn w:val="Policepardfaut"/>
    <w:link w:val="Commentaire"/>
    <w:uiPriority w:val="99"/>
    <w:rsid w:val="004C7B7C"/>
    <w:rPr>
      <w:rFonts w:ascii="Verdana" w:eastAsia="Times New Roman" w:hAnsi="Verdana" w:cs="Times New Roman"/>
      <w:sz w:val="20"/>
      <w:szCs w:val="20"/>
    </w:rPr>
  </w:style>
  <w:style w:type="paragraph" w:styleId="Objetducommentaire">
    <w:name w:val="annotation subject"/>
    <w:basedOn w:val="Commentaire"/>
    <w:next w:val="Commentaire"/>
    <w:link w:val="ObjetducommentaireCar"/>
    <w:rsid w:val="004C7B7C"/>
    <w:rPr>
      <w:b/>
      <w:bCs/>
    </w:rPr>
  </w:style>
  <w:style w:type="character" w:customStyle="1" w:styleId="ObjetducommentaireCar">
    <w:name w:val="Objet du commentaire Car"/>
    <w:basedOn w:val="CommentaireCar"/>
    <w:link w:val="Objetducommentaire"/>
    <w:rsid w:val="004C7B7C"/>
    <w:rPr>
      <w:rFonts w:ascii="Verdana" w:eastAsia="Times New Roman" w:hAnsi="Verdana" w:cs="Times New Roman"/>
      <w:b/>
      <w:bCs/>
      <w:sz w:val="20"/>
      <w:szCs w:val="20"/>
    </w:rPr>
  </w:style>
  <w:style w:type="table" w:customStyle="1" w:styleId="Grilledutableau1">
    <w:name w:val="Grille du tableau1"/>
    <w:basedOn w:val="TableauNormal"/>
    <w:next w:val="Grilledutableau"/>
    <w:rsid w:val="004C7B7C"/>
    <w:pPr>
      <w:spacing w:after="0" w:line="340" w:lineRule="atLeas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centuation">
    <w:name w:val="Emphasis"/>
    <w:qFormat/>
    <w:rsid w:val="004C7B7C"/>
    <w:rPr>
      <w:i/>
      <w:iCs/>
    </w:rPr>
  </w:style>
  <w:style w:type="paragraph" w:styleId="NormalWeb">
    <w:name w:val="Normal (Web)"/>
    <w:basedOn w:val="Normal"/>
    <w:uiPriority w:val="99"/>
    <w:rsid w:val="004C7B7C"/>
    <w:pPr>
      <w:spacing w:before="100" w:beforeAutospacing="1" w:after="100" w:afterAutospacing="1"/>
      <w:jc w:val="left"/>
    </w:pPr>
    <w:rPr>
      <w:rFonts w:ascii="Times New Roman" w:eastAsia="Times New Roman" w:hAnsi="Times New Roman" w:cs="Times New Roman"/>
      <w:sz w:val="24"/>
      <w:szCs w:val="24"/>
    </w:rPr>
  </w:style>
  <w:style w:type="paragraph" w:customStyle="1" w:styleId="s25">
    <w:name w:val="s25"/>
    <w:basedOn w:val="Normal"/>
    <w:rsid w:val="004C7B7C"/>
    <w:pPr>
      <w:spacing w:before="100" w:beforeAutospacing="1" w:after="100" w:afterAutospacing="1"/>
      <w:jc w:val="left"/>
    </w:pPr>
    <w:rPr>
      <w:rFonts w:ascii="Times New Roman" w:eastAsia="Times New Roman" w:hAnsi="Times New Roman" w:cs="Times New Roman"/>
      <w:sz w:val="24"/>
      <w:szCs w:val="24"/>
    </w:rPr>
  </w:style>
  <w:style w:type="character" w:customStyle="1" w:styleId="apple-style-span">
    <w:name w:val="apple-style-span"/>
    <w:rsid w:val="004C7B7C"/>
    <w:rPr>
      <w:rFonts w:cs="Times New Roman"/>
    </w:rPr>
  </w:style>
  <w:style w:type="character" w:customStyle="1" w:styleId="s4">
    <w:name w:val="s4"/>
    <w:rsid w:val="004C7B7C"/>
    <w:rPr>
      <w:rFonts w:cs="Times New Roman"/>
    </w:rPr>
  </w:style>
  <w:style w:type="character" w:styleId="Appeldenotedefin">
    <w:name w:val="endnote reference"/>
    <w:rsid w:val="004C7B7C"/>
    <w:rPr>
      <w:vertAlign w:val="superscript"/>
    </w:rPr>
  </w:style>
  <w:style w:type="paragraph" w:styleId="Rvision">
    <w:name w:val="Revision"/>
    <w:hidden/>
    <w:uiPriority w:val="99"/>
    <w:semiHidden/>
    <w:rsid w:val="004C7B7C"/>
    <w:pPr>
      <w:spacing w:after="0" w:line="240" w:lineRule="auto"/>
    </w:pPr>
    <w:rPr>
      <w:rFonts w:ascii="Verdana" w:eastAsia="Times New Roman" w:hAnsi="Verdana" w:cs="Times New Roman"/>
      <w:sz w:val="20"/>
      <w:szCs w:val="20"/>
    </w:rPr>
  </w:style>
  <w:style w:type="paragraph" w:customStyle="1" w:styleId="note">
    <w:name w:val="note"/>
    <w:basedOn w:val="Notedebasdepage"/>
    <w:link w:val="noteCar"/>
    <w:qFormat/>
    <w:rsid w:val="00FC3D98"/>
    <w:pPr>
      <w:tabs>
        <w:tab w:val="left" w:pos="142"/>
      </w:tabs>
      <w:spacing w:before="80" w:line="240" w:lineRule="auto"/>
      <w:ind w:left="142" w:hanging="142"/>
    </w:pPr>
    <w:rPr>
      <w:sz w:val="16"/>
      <w:szCs w:val="16"/>
    </w:rPr>
  </w:style>
  <w:style w:type="character" w:customStyle="1" w:styleId="noteCar">
    <w:name w:val="note Car"/>
    <w:basedOn w:val="NotedebasdepageCar"/>
    <w:link w:val="note"/>
    <w:rsid w:val="00FC3D98"/>
    <w:rPr>
      <w:rFonts w:ascii="Verdana" w:eastAsia="Times New Roman" w:hAnsi="Verdana" w:cs="Times New Roman"/>
      <w:sz w:val="16"/>
      <w:szCs w:val="16"/>
    </w:rPr>
  </w:style>
  <w:style w:type="paragraph" w:customStyle="1" w:styleId="Default">
    <w:name w:val="Default"/>
    <w:rsid w:val="00E53335"/>
    <w:pPr>
      <w:autoSpaceDE w:val="0"/>
      <w:autoSpaceDN w:val="0"/>
      <w:adjustRightInd w:val="0"/>
      <w:spacing w:after="0" w:line="240" w:lineRule="auto"/>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2" w:semiHidden="1" w:uiPriority="1" w:unhideWhenUsed="1" w:qFormat="1"/>
    <w:lsdException w:name="heading 3" w:semiHidden="1"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footer" w:uiPriority="99"/>
    <w:lsdException w:name="caption" w:semiHidden="1" w:uiPriority="35" w:unhideWhenUsed="1" w:qFormat="1"/>
    <w:lsdException w:name="footnote reference" w:uiPriority="99"/>
    <w:lsdException w:name="annotation reference" w:uiPriority="99"/>
    <w:lsdException w:name="List Bullet" w:uiPriority="1" w:qFormat="1"/>
    <w:lsdException w:name="List Number" w:uiPriority="1" w:qFormat="1"/>
    <w:lsdException w:name="List Number 2" w:uiPriority="1" w:qFormat="1"/>
    <w:lsdException w:name="Strong" w:qFormat="1"/>
    <w:lsdException w:name="Emphasis"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7C41"/>
    <w:pPr>
      <w:spacing w:after="0" w:line="240" w:lineRule="auto"/>
      <w:jc w:val="both"/>
    </w:pPr>
    <w:rPr>
      <w:rFonts w:ascii="Verdana" w:hAnsi="Verdana"/>
    </w:rPr>
  </w:style>
  <w:style w:type="paragraph" w:styleId="Titre2">
    <w:name w:val="heading 2"/>
    <w:aliases w:val="Titre violet"/>
    <w:basedOn w:val="Normal"/>
    <w:next w:val="Normal"/>
    <w:link w:val="Titre2Car"/>
    <w:uiPriority w:val="1"/>
    <w:semiHidden/>
    <w:unhideWhenUsed/>
    <w:qFormat/>
    <w:rsid w:val="00572D78"/>
    <w:pPr>
      <w:keepNext/>
      <w:keepLines/>
      <w:spacing w:before="360" w:after="60"/>
      <w:jc w:val="left"/>
      <w:outlineLvl w:val="1"/>
    </w:pPr>
    <w:rPr>
      <w:rFonts w:eastAsia="Times New Roman" w:cs="Cordia New"/>
      <w:b/>
      <w:caps/>
      <w:noProof/>
      <w:color w:val="581D74"/>
      <w:kern w:val="20"/>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customStyle="1" w:styleId="Titreducommuniqu">
    <w:name w:val="Titre du communiqué"/>
    <w:basedOn w:val="Normal"/>
    <w:rPr>
      <w:color w:val="000000"/>
      <w:sz w:val="36"/>
    </w:rPr>
  </w:style>
  <w:style w:type="paragraph" w:customStyle="1" w:styleId="Dateducommuniqu">
    <w:name w:val="Date du communiqué"/>
    <w:basedOn w:val="Normal"/>
    <w:pPr>
      <w:spacing w:line="300" w:lineRule="atLeast"/>
    </w:pPr>
    <w:rPr>
      <w:color w:val="501964"/>
      <w:sz w:val="28"/>
    </w:rPr>
  </w:style>
  <w:style w:type="paragraph" w:customStyle="1" w:styleId="Titreparagraphe">
    <w:name w:val="Titre paragraphe"/>
    <w:basedOn w:val="Normal"/>
    <w:link w:val="TitreparagrapheCar"/>
    <w:pPr>
      <w:spacing w:before="240"/>
    </w:pPr>
    <w:rPr>
      <w:b/>
      <w:color w:val="501964"/>
    </w:rPr>
  </w:style>
  <w:style w:type="character" w:styleId="Lienhypertexte">
    <w:name w:val="Hyperlink"/>
    <w:basedOn w:val="Policepardfaut"/>
    <w:rPr>
      <w:color w:val="0000FF"/>
      <w:u w:val="single"/>
    </w:rPr>
  </w:style>
  <w:style w:type="character" w:styleId="Numrodepage">
    <w:name w:val="page number"/>
    <w:basedOn w:val="Policepardfaut"/>
    <w:rsid w:val="008A3BA7"/>
  </w:style>
  <w:style w:type="paragraph" w:styleId="Textedebulles">
    <w:name w:val="Balloon Text"/>
    <w:basedOn w:val="Normal"/>
    <w:link w:val="TextedebullesCar"/>
    <w:semiHidden/>
    <w:rsid w:val="00100D2B"/>
    <w:rPr>
      <w:rFonts w:ascii="Tahoma" w:hAnsi="Tahoma" w:cs="Tahoma"/>
      <w:sz w:val="16"/>
      <w:szCs w:val="16"/>
    </w:rPr>
  </w:style>
  <w:style w:type="table" w:styleId="Grilledutableau">
    <w:name w:val="Table Grid"/>
    <w:basedOn w:val="TableauNormal"/>
    <w:rsid w:val="000901A2"/>
    <w:pPr>
      <w:spacing w:line="3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suivivisit">
    <w:name w:val="FollowedHyperlink"/>
    <w:basedOn w:val="Policepardfaut"/>
    <w:rsid w:val="000B2846"/>
    <w:rPr>
      <w:color w:val="800080"/>
      <w:u w:val="single"/>
    </w:rPr>
  </w:style>
  <w:style w:type="paragraph" w:customStyle="1" w:styleId="Titrecommuniqu">
    <w:name w:val="Titre communiqué"/>
    <w:basedOn w:val="Titreparagraphe"/>
    <w:link w:val="TitrecommuniquCar"/>
    <w:rsid w:val="00572D78"/>
    <w:pPr>
      <w:spacing w:before="0"/>
    </w:pPr>
    <w:rPr>
      <w:b w:val="0"/>
      <w:color w:val="auto"/>
      <w:sz w:val="28"/>
      <w:szCs w:val="28"/>
    </w:rPr>
  </w:style>
  <w:style w:type="paragraph" w:customStyle="1" w:styleId="Datecommuniqu">
    <w:name w:val="Date communiqué"/>
    <w:basedOn w:val="Titreparagraphe"/>
    <w:link w:val="DatecommuniquCar"/>
    <w:rsid w:val="00572D78"/>
    <w:pPr>
      <w:spacing w:before="480"/>
    </w:pPr>
    <w:rPr>
      <w:b w:val="0"/>
      <w:color w:val="581D74"/>
    </w:rPr>
  </w:style>
  <w:style w:type="character" w:customStyle="1" w:styleId="TitreparagrapheCar">
    <w:name w:val="Titre paragraphe Car"/>
    <w:basedOn w:val="Policepardfaut"/>
    <w:link w:val="Titreparagraphe"/>
    <w:rsid w:val="00572D78"/>
    <w:rPr>
      <w:rFonts w:ascii="Verdana" w:hAnsi="Verdana"/>
      <w:b/>
      <w:color w:val="501964"/>
    </w:rPr>
  </w:style>
  <w:style w:type="character" w:customStyle="1" w:styleId="TitrecommuniquCar">
    <w:name w:val="Titre communiqué Car"/>
    <w:basedOn w:val="TitreparagrapheCar"/>
    <w:link w:val="Titrecommuniqu"/>
    <w:rsid w:val="00572D78"/>
    <w:rPr>
      <w:rFonts w:ascii="Verdana" w:hAnsi="Verdana"/>
      <w:b w:val="0"/>
      <w:color w:val="501964"/>
      <w:sz w:val="28"/>
      <w:szCs w:val="28"/>
    </w:rPr>
  </w:style>
  <w:style w:type="paragraph" w:customStyle="1" w:styleId="chapcommuniqu">
    <w:name w:val="chapô communiqué"/>
    <w:basedOn w:val="Titreparagraphe"/>
    <w:link w:val="chapcommuniquCar"/>
    <w:rsid w:val="00572D78"/>
    <w:rPr>
      <w:color w:val="auto"/>
      <w:sz w:val="18"/>
      <w:szCs w:val="18"/>
    </w:rPr>
  </w:style>
  <w:style w:type="character" w:customStyle="1" w:styleId="DatecommuniquCar">
    <w:name w:val="Date communiqué Car"/>
    <w:basedOn w:val="TitreparagrapheCar"/>
    <w:link w:val="Datecommuniqu"/>
    <w:rsid w:val="00572D78"/>
    <w:rPr>
      <w:rFonts w:ascii="Verdana" w:hAnsi="Verdana"/>
      <w:b w:val="0"/>
      <w:color w:val="581D74"/>
    </w:rPr>
  </w:style>
  <w:style w:type="paragraph" w:customStyle="1" w:styleId="textecourantcommuniqu">
    <w:name w:val="texte courant communiqué"/>
    <w:basedOn w:val="Normal"/>
    <w:link w:val="textecourantcommuniquCar"/>
    <w:rsid w:val="00572D78"/>
    <w:rPr>
      <w:sz w:val="18"/>
      <w:szCs w:val="18"/>
    </w:rPr>
  </w:style>
  <w:style w:type="character" w:customStyle="1" w:styleId="chapcommuniquCar">
    <w:name w:val="chapô communiqué Car"/>
    <w:basedOn w:val="TitreparagrapheCar"/>
    <w:link w:val="chapcommuniqu"/>
    <w:rsid w:val="00572D78"/>
    <w:rPr>
      <w:rFonts w:ascii="Verdana" w:hAnsi="Verdana"/>
      <w:b/>
      <w:color w:val="501964"/>
      <w:sz w:val="18"/>
      <w:szCs w:val="18"/>
    </w:rPr>
  </w:style>
  <w:style w:type="paragraph" w:customStyle="1" w:styleId="En-tteombr">
    <w:name w:val="En-tête ombré"/>
    <w:basedOn w:val="Normal"/>
    <w:uiPriority w:val="19"/>
    <w:qFormat/>
    <w:rsid w:val="00572D78"/>
    <w:pPr>
      <w:pBdr>
        <w:top w:val="single" w:sz="2" w:space="2" w:color="581D74"/>
        <w:left w:val="single" w:sz="2" w:space="6" w:color="581D74"/>
        <w:bottom w:val="single" w:sz="2" w:space="2" w:color="581D74"/>
        <w:right w:val="single" w:sz="2" w:space="6" w:color="581D74"/>
      </w:pBdr>
      <w:shd w:val="clear" w:color="auto" w:fill="581D74"/>
      <w:spacing w:before="40"/>
      <w:ind w:left="-360" w:right="-360"/>
    </w:pPr>
    <w:rPr>
      <w:rFonts w:eastAsia="Times New Roman" w:cs="Cordia New"/>
      <w:caps/>
      <w:noProof/>
      <w:color w:val="FFFFFF"/>
      <w:kern w:val="20"/>
      <w:sz w:val="28"/>
      <w:szCs w:val="28"/>
    </w:rPr>
  </w:style>
  <w:style w:type="character" w:customStyle="1" w:styleId="textecourantcommuniquCar">
    <w:name w:val="texte courant communiqué Car"/>
    <w:basedOn w:val="Policepardfaut"/>
    <w:link w:val="textecourantcommuniqu"/>
    <w:rsid w:val="00572D78"/>
    <w:rPr>
      <w:rFonts w:ascii="Verdana" w:hAnsi="Verdana"/>
      <w:sz w:val="18"/>
      <w:szCs w:val="18"/>
    </w:rPr>
  </w:style>
  <w:style w:type="paragraph" w:customStyle="1" w:styleId="Titre1">
    <w:name w:val="Titre1"/>
    <w:link w:val="Titre1Car"/>
    <w:qFormat/>
    <w:rsid w:val="00572D78"/>
    <w:rPr>
      <w:rFonts w:ascii="Verdana" w:eastAsiaTheme="majorEastAsia" w:hAnsi="Verdana" w:cstheme="majorBidi"/>
      <w:bCs/>
      <w:color w:val="411556" w:themeColor="accent1" w:themeShade="BF"/>
      <w:sz w:val="36"/>
      <w:szCs w:val="36"/>
    </w:rPr>
  </w:style>
  <w:style w:type="character" w:customStyle="1" w:styleId="Titre1Car">
    <w:name w:val="Titre1 Car"/>
    <w:basedOn w:val="Policepardfaut"/>
    <w:link w:val="Titre1"/>
    <w:rsid w:val="00572D78"/>
    <w:rPr>
      <w:rFonts w:ascii="Verdana" w:eastAsiaTheme="majorEastAsia" w:hAnsi="Verdana" w:cstheme="majorBidi"/>
      <w:bCs/>
      <w:color w:val="411556" w:themeColor="accent1" w:themeShade="BF"/>
      <w:sz w:val="36"/>
      <w:szCs w:val="36"/>
    </w:rPr>
  </w:style>
  <w:style w:type="paragraph" w:customStyle="1" w:styleId="Italique">
    <w:name w:val="Italique"/>
    <w:basedOn w:val="Normal"/>
    <w:link w:val="ItaliqueCar"/>
    <w:qFormat/>
    <w:rsid w:val="00572D78"/>
    <w:pPr>
      <w:ind w:left="360" w:hanging="360"/>
    </w:pPr>
    <w:rPr>
      <w:rFonts w:eastAsia="Cambria" w:cs="Angsana New"/>
      <w:i/>
      <w:noProof/>
      <w:kern w:val="20"/>
      <w:sz w:val="20"/>
      <w:szCs w:val="20"/>
    </w:rPr>
  </w:style>
  <w:style w:type="character" w:customStyle="1" w:styleId="ItaliqueCar">
    <w:name w:val="Italique Car"/>
    <w:basedOn w:val="ListenumrosCar"/>
    <w:link w:val="Italique"/>
    <w:rsid w:val="00572D78"/>
    <w:rPr>
      <w:rFonts w:ascii="Verdana" w:eastAsia="Cambria" w:hAnsi="Verdana" w:cs="Angsana New"/>
      <w:i/>
      <w:noProof/>
      <w:kern w:val="20"/>
      <w:sz w:val="20"/>
      <w:szCs w:val="20"/>
    </w:rPr>
  </w:style>
  <w:style w:type="paragraph" w:customStyle="1" w:styleId="Notebasdepage">
    <w:name w:val="Note bas de page"/>
    <w:basedOn w:val="Notedefin"/>
    <w:link w:val="NotebasdepageCar"/>
    <w:qFormat/>
    <w:rsid w:val="00572D78"/>
    <w:rPr>
      <w:sz w:val="18"/>
      <w:szCs w:val="18"/>
    </w:rPr>
  </w:style>
  <w:style w:type="character" w:customStyle="1" w:styleId="NotebasdepageCar">
    <w:name w:val="Note bas de page Car"/>
    <w:basedOn w:val="NotedefinCar"/>
    <w:link w:val="Notebasdepage"/>
    <w:rsid w:val="00572D78"/>
    <w:rPr>
      <w:rFonts w:ascii="Verdana" w:hAnsi="Verdana"/>
      <w:sz w:val="18"/>
      <w:szCs w:val="18"/>
    </w:rPr>
  </w:style>
  <w:style w:type="paragraph" w:styleId="Notedefin">
    <w:name w:val="endnote text"/>
    <w:basedOn w:val="Normal"/>
    <w:link w:val="NotedefinCar"/>
    <w:rsid w:val="00572D78"/>
    <w:rPr>
      <w:sz w:val="20"/>
      <w:szCs w:val="20"/>
    </w:rPr>
  </w:style>
  <w:style w:type="character" w:customStyle="1" w:styleId="NotedefinCar">
    <w:name w:val="Note de fin Car"/>
    <w:basedOn w:val="Policepardfaut"/>
    <w:link w:val="Notedefin"/>
    <w:rsid w:val="00572D78"/>
    <w:rPr>
      <w:rFonts w:ascii="Verdana" w:hAnsi="Verdana"/>
      <w:sz w:val="20"/>
      <w:szCs w:val="20"/>
    </w:rPr>
  </w:style>
  <w:style w:type="paragraph" w:customStyle="1" w:styleId="Boldviolet">
    <w:name w:val="Bold violet"/>
    <w:basedOn w:val="Normal"/>
    <w:link w:val="BoldvioletCar"/>
    <w:qFormat/>
    <w:rsid w:val="00572D78"/>
    <w:pPr>
      <w:jc w:val="left"/>
    </w:pPr>
    <w:rPr>
      <w:rFonts w:eastAsia="Times New Roman" w:cs="Times New Roman"/>
      <w:b/>
      <w:color w:val="581D74" w:themeColor="accent1"/>
      <w:sz w:val="20"/>
      <w:szCs w:val="24"/>
    </w:rPr>
  </w:style>
  <w:style w:type="character" w:customStyle="1" w:styleId="BoldvioletCar">
    <w:name w:val="Bold violet Car"/>
    <w:basedOn w:val="Policepardfaut"/>
    <w:link w:val="Boldviolet"/>
    <w:rsid w:val="00572D78"/>
    <w:rPr>
      <w:rFonts w:ascii="Verdana" w:eastAsia="Times New Roman" w:hAnsi="Verdana" w:cs="Times New Roman"/>
      <w:b/>
      <w:color w:val="581D74" w:themeColor="accent1"/>
      <w:sz w:val="20"/>
      <w:szCs w:val="24"/>
    </w:rPr>
  </w:style>
  <w:style w:type="paragraph" w:customStyle="1" w:styleId="Mentionslgales">
    <w:name w:val="Mentions légales"/>
    <w:basedOn w:val="Listepuces"/>
    <w:link w:val="MentionslgalesCar"/>
    <w:qFormat/>
    <w:rsid w:val="00572D78"/>
    <w:pPr>
      <w:ind w:left="0" w:firstLine="0"/>
      <w:jc w:val="left"/>
    </w:pPr>
    <w:rPr>
      <w:sz w:val="14"/>
      <w:szCs w:val="14"/>
    </w:rPr>
  </w:style>
  <w:style w:type="character" w:customStyle="1" w:styleId="MentionslgalesCar">
    <w:name w:val="Mentions légales Car"/>
    <w:basedOn w:val="ListepucesCar"/>
    <w:link w:val="Mentionslgales"/>
    <w:rsid w:val="00572D78"/>
    <w:rPr>
      <w:rFonts w:ascii="Verdana" w:eastAsia="Cambria" w:hAnsi="Verdana" w:cs="Angsana New"/>
      <w:noProof/>
      <w:kern w:val="20"/>
      <w:sz w:val="14"/>
      <w:szCs w:val="14"/>
    </w:rPr>
  </w:style>
  <w:style w:type="paragraph" w:styleId="Listepuces">
    <w:name w:val="List Bullet"/>
    <w:basedOn w:val="Normal"/>
    <w:link w:val="ListepucesCar"/>
    <w:uiPriority w:val="1"/>
    <w:unhideWhenUsed/>
    <w:qFormat/>
    <w:rsid w:val="00572D78"/>
    <w:pPr>
      <w:spacing w:before="40" w:after="40" w:line="288" w:lineRule="auto"/>
      <w:ind w:left="360" w:hanging="360"/>
    </w:pPr>
    <w:rPr>
      <w:rFonts w:eastAsia="Cambria" w:cs="Angsana New"/>
      <w:noProof/>
      <w:kern w:val="20"/>
      <w:sz w:val="20"/>
      <w:szCs w:val="20"/>
    </w:rPr>
  </w:style>
  <w:style w:type="character" w:customStyle="1" w:styleId="Titre2Car">
    <w:name w:val="Titre 2 Car"/>
    <w:aliases w:val="Titre violet Car"/>
    <w:basedOn w:val="Policepardfaut"/>
    <w:link w:val="Titre2"/>
    <w:uiPriority w:val="1"/>
    <w:semiHidden/>
    <w:rsid w:val="00572D78"/>
    <w:rPr>
      <w:rFonts w:ascii="Verdana" w:eastAsia="Times New Roman" w:hAnsi="Verdana" w:cs="Cordia New"/>
      <w:b/>
      <w:caps/>
      <w:noProof/>
      <w:color w:val="581D74"/>
      <w:kern w:val="20"/>
      <w:sz w:val="24"/>
      <w:szCs w:val="20"/>
    </w:rPr>
  </w:style>
  <w:style w:type="character" w:customStyle="1" w:styleId="ListepucesCar">
    <w:name w:val="Liste à puces Car"/>
    <w:basedOn w:val="Policepardfaut"/>
    <w:link w:val="Listepuces"/>
    <w:uiPriority w:val="1"/>
    <w:rsid w:val="00572D78"/>
    <w:rPr>
      <w:rFonts w:ascii="Verdana" w:eastAsia="Cambria" w:hAnsi="Verdana" w:cs="Angsana New"/>
      <w:noProof/>
      <w:kern w:val="20"/>
      <w:sz w:val="20"/>
      <w:szCs w:val="20"/>
    </w:rPr>
  </w:style>
  <w:style w:type="paragraph" w:styleId="Listenumros">
    <w:name w:val="List Number"/>
    <w:aliases w:val="Liste à numéros violet"/>
    <w:basedOn w:val="Normal"/>
    <w:link w:val="ListenumrosCar"/>
    <w:uiPriority w:val="1"/>
    <w:unhideWhenUsed/>
    <w:qFormat/>
    <w:rsid w:val="00572D78"/>
    <w:pPr>
      <w:numPr>
        <w:numId w:val="1"/>
      </w:numPr>
      <w:spacing w:before="40" w:after="160" w:line="288" w:lineRule="auto"/>
      <w:contextualSpacing/>
    </w:pPr>
    <w:rPr>
      <w:rFonts w:eastAsia="Cambria" w:cs="Angsana New"/>
      <w:noProof/>
      <w:kern w:val="20"/>
      <w:sz w:val="20"/>
      <w:szCs w:val="20"/>
    </w:rPr>
  </w:style>
  <w:style w:type="character" w:customStyle="1" w:styleId="ListenumrosCar">
    <w:name w:val="Liste à numéros Car"/>
    <w:aliases w:val="Liste à numéros violet Car"/>
    <w:basedOn w:val="Policepardfaut"/>
    <w:link w:val="Listenumros"/>
    <w:uiPriority w:val="1"/>
    <w:rsid w:val="00572D78"/>
    <w:rPr>
      <w:rFonts w:ascii="Verdana" w:eastAsia="Cambria" w:hAnsi="Verdana" w:cs="Angsana New"/>
      <w:noProof/>
      <w:kern w:val="20"/>
      <w:sz w:val="20"/>
      <w:szCs w:val="20"/>
    </w:rPr>
  </w:style>
  <w:style w:type="paragraph" w:styleId="Listenumros2">
    <w:name w:val="List Number 2"/>
    <w:aliases w:val="Liste à numéros 1"/>
    <w:basedOn w:val="Normal"/>
    <w:uiPriority w:val="1"/>
    <w:unhideWhenUsed/>
    <w:qFormat/>
    <w:rsid w:val="00572D78"/>
    <w:pPr>
      <w:numPr>
        <w:ilvl w:val="1"/>
        <w:numId w:val="1"/>
      </w:numPr>
      <w:spacing w:before="40" w:after="160" w:line="288" w:lineRule="auto"/>
      <w:contextualSpacing/>
      <w:jc w:val="left"/>
    </w:pPr>
    <w:rPr>
      <w:rFonts w:eastAsia="Cambria" w:cs="Angsana New"/>
      <w:noProof/>
      <w:color w:val="581D74"/>
      <w:kern w:val="20"/>
      <w:sz w:val="24"/>
      <w:szCs w:val="24"/>
    </w:rPr>
  </w:style>
  <w:style w:type="character" w:styleId="lev">
    <w:name w:val="Strong"/>
    <w:aliases w:val="Bold"/>
    <w:basedOn w:val="Policepardfaut"/>
    <w:qFormat/>
    <w:rsid w:val="00572D78"/>
    <w:rPr>
      <w:b/>
      <w:bCs/>
    </w:rPr>
  </w:style>
  <w:style w:type="paragraph" w:customStyle="1" w:styleId="1-TITREcommuniqu">
    <w:name w:val="1-TITRE communiqué"/>
    <w:basedOn w:val="Titrecommuniqu"/>
    <w:link w:val="1-TITREcommuniquCar"/>
    <w:qFormat/>
    <w:rsid w:val="007108CA"/>
    <w:rPr>
      <w:sz w:val="32"/>
      <w:szCs w:val="32"/>
    </w:rPr>
  </w:style>
  <w:style w:type="paragraph" w:customStyle="1" w:styleId="2-DATEcommuniqu">
    <w:name w:val="2-DATE communiqué"/>
    <w:basedOn w:val="Datecommuniqu"/>
    <w:link w:val="2-DATEcommuniquCar"/>
    <w:qFormat/>
    <w:rsid w:val="00572D78"/>
  </w:style>
  <w:style w:type="character" w:customStyle="1" w:styleId="1-TITREcommuniquCar">
    <w:name w:val="1-TITRE communiqué Car"/>
    <w:basedOn w:val="TitrecommuniquCar"/>
    <w:link w:val="1-TITREcommuniqu"/>
    <w:rsid w:val="007108CA"/>
    <w:rPr>
      <w:rFonts w:ascii="Verdana" w:hAnsi="Verdana"/>
      <w:b w:val="0"/>
      <w:color w:val="501964"/>
      <w:sz w:val="32"/>
      <w:szCs w:val="32"/>
    </w:rPr>
  </w:style>
  <w:style w:type="paragraph" w:customStyle="1" w:styleId="3-CHAPcommuniqu">
    <w:name w:val="3-CHAPÔ communiqué"/>
    <w:basedOn w:val="chapcommuniqu"/>
    <w:link w:val="3-CHAPcommuniquCar"/>
    <w:qFormat/>
    <w:rsid w:val="00A905D1"/>
    <w:rPr>
      <w:sz w:val="20"/>
      <w:szCs w:val="20"/>
    </w:rPr>
  </w:style>
  <w:style w:type="character" w:customStyle="1" w:styleId="2-DATEcommuniquCar">
    <w:name w:val="2-DATE communiqué Car"/>
    <w:basedOn w:val="DatecommuniquCar"/>
    <w:link w:val="2-DATEcommuniqu"/>
    <w:rsid w:val="00572D78"/>
    <w:rPr>
      <w:rFonts w:ascii="Verdana" w:hAnsi="Verdana"/>
      <w:b w:val="0"/>
      <w:color w:val="581D74"/>
    </w:rPr>
  </w:style>
  <w:style w:type="paragraph" w:customStyle="1" w:styleId="4-TEXTECOURANTcommuniqu">
    <w:name w:val="4-TEXTE COURANT communiqué"/>
    <w:basedOn w:val="textecourantcommuniqu"/>
    <w:link w:val="4-TEXTECOURANTcommuniquCar"/>
    <w:qFormat/>
    <w:rsid w:val="00A905D1"/>
    <w:rPr>
      <w:sz w:val="20"/>
      <w:szCs w:val="20"/>
    </w:rPr>
  </w:style>
  <w:style w:type="character" w:customStyle="1" w:styleId="3-CHAPcommuniquCar">
    <w:name w:val="3-CHAPÔ communiqué Car"/>
    <w:basedOn w:val="chapcommuniquCar"/>
    <w:link w:val="3-CHAPcommuniqu"/>
    <w:rsid w:val="00A905D1"/>
    <w:rPr>
      <w:rFonts w:ascii="Verdana" w:hAnsi="Verdana"/>
      <w:b/>
      <w:color w:val="501964"/>
      <w:sz w:val="20"/>
      <w:szCs w:val="20"/>
    </w:rPr>
  </w:style>
  <w:style w:type="paragraph" w:customStyle="1" w:styleId="5-APROPOS">
    <w:name w:val="5-A PROPOS"/>
    <w:basedOn w:val="Normal"/>
    <w:link w:val="5-APROPOSCar"/>
    <w:rsid w:val="00EC7529"/>
    <w:pPr>
      <w:pBdr>
        <w:left w:val="single" w:sz="4" w:space="4" w:color="581D74"/>
      </w:pBdr>
      <w:ind w:left="142"/>
    </w:pPr>
    <w:rPr>
      <w:i/>
      <w:sz w:val="18"/>
      <w:szCs w:val="18"/>
      <w:lang w:val="pt-BR"/>
    </w:rPr>
  </w:style>
  <w:style w:type="character" w:customStyle="1" w:styleId="4-TEXTECOURANTcommuniquCar">
    <w:name w:val="4-TEXTE COURANT communiqué Car"/>
    <w:basedOn w:val="textecourantcommuniquCar"/>
    <w:link w:val="4-TEXTECOURANTcommuniqu"/>
    <w:rsid w:val="00A905D1"/>
    <w:rPr>
      <w:rFonts w:ascii="Verdana" w:hAnsi="Verdana"/>
      <w:sz w:val="20"/>
      <w:szCs w:val="20"/>
    </w:rPr>
  </w:style>
  <w:style w:type="character" w:customStyle="1" w:styleId="5-APROPOSCar">
    <w:name w:val="5-A PROPOS Car"/>
    <w:basedOn w:val="Policepardfaut"/>
    <w:link w:val="5-APROPOS"/>
    <w:rsid w:val="00EC7529"/>
    <w:rPr>
      <w:rFonts w:ascii="Verdana" w:hAnsi="Verdana"/>
      <w:i/>
      <w:sz w:val="18"/>
      <w:szCs w:val="18"/>
      <w:lang w:val="pt-BR"/>
    </w:rPr>
  </w:style>
  <w:style w:type="paragraph" w:customStyle="1" w:styleId="5-TitreAPROPOS">
    <w:name w:val="5-Titre A PROPOS"/>
    <w:basedOn w:val="Titreparagraphe"/>
    <w:link w:val="5-TitreAPROPOSCar"/>
    <w:rsid w:val="00A905D1"/>
    <w:pPr>
      <w:pBdr>
        <w:left w:val="single" w:sz="4" w:space="4" w:color="581D74"/>
      </w:pBdr>
      <w:spacing w:before="0"/>
      <w:ind w:left="142"/>
    </w:pPr>
    <w:rPr>
      <w:color w:val="581D74"/>
      <w:sz w:val="18"/>
      <w:szCs w:val="18"/>
      <w:lang w:val="pt-BR"/>
    </w:rPr>
  </w:style>
  <w:style w:type="character" w:customStyle="1" w:styleId="5-TitreAPROPOSCar">
    <w:name w:val="5-Titre A PROPOS Car"/>
    <w:basedOn w:val="TitreparagrapheCar"/>
    <w:link w:val="5-TitreAPROPOS"/>
    <w:rsid w:val="00A905D1"/>
    <w:rPr>
      <w:rFonts w:ascii="Verdana" w:hAnsi="Verdana"/>
      <w:b/>
      <w:color w:val="581D74"/>
      <w:sz w:val="18"/>
      <w:szCs w:val="18"/>
      <w:lang w:val="pt-BR"/>
    </w:rPr>
  </w:style>
  <w:style w:type="paragraph" w:customStyle="1" w:styleId="7-APROPOS">
    <w:name w:val="7-A PROPOS"/>
    <w:basedOn w:val="Normal"/>
    <w:link w:val="7-APROPOSCar"/>
    <w:qFormat/>
    <w:rsid w:val="007108CA"/>
    <w:pPr>
      <w:pBdr>
        <w:left w:val="single" w:sz="4" w:space="4" w:color="581D74"/>
      </w:pBdr>
      <w:ind w:left="142"/>
    </w:pPr>
    <w:rPr>
      <w:i/>
      <w:sz w:val="18"/>
      <w:szCs w:val="18"/>
      <w:lang w:val="pt-BR"/>
    </w:rPr>
  </w:style>
  <w:style w:type="character" w:customStyle="1" w:styleId="7-APROPOSCar">
    <w:name w:val="7-A PROPOS Car"/>
    <w:basedOn w:val="Policepardfaut"/>
    <w:link w:val="7-APROPOS"/>
    <w:rsid w:val="007108CA"/>
    <w:rPr>
      <w:rFonts w:ascii="Verdana" w:hAnsi="Verdana"/>
      <w:i/>
      <w:sz w:val="18"/>
      <w:szCs w:val="18"/>
      <w:lang w:val="pt-BR"/>
    </w:rPr>
  </w:style>
  <w:style w:type="paragraph" w:customStyle="1" w:styleId="7-TitreAPROPOS">
    <w:name w:val="7-Titre A PROPOS"/>
    <w:basedOn w:val="Titreparagraphe"/>
    <w:link w:val="7-TitreAPROPOSCar"/>
    <w:qFormat/>
    <w:rsid w:val="007108CA"/>
    <w:pPr>
      <w:pBdr>
        <w:left w:val="single" w:sz="4" w:space="4" w:color="581D74"/>
      </w:pBdr>
      <w:spacing w:before="0"/>
      <w:ind w:left="142"/>
    </w:pPr>
    <w:rPr>
      <w:color w:val="581D74"/>
      <w:sz w:val="18"/>
      <w:szCs w:val="18"/>
      <w:lang w:val="pt-BR"/>
    </w:rPr>
  </w:style>
  <w:style w:type="paragraph" w:customStyle="1" w:styleId="5-INTER">
    <w:name w:val="5-INTER"/>
    <w:basedOn w:val="Boldviolet"/>
    <w:link w:val="5-INTERCar"/>
    <w:qFormat/>
    <w:rsid w:val="007108CA"/>
  </w:style>
  <w:style w:type="character" w:customStyle="1" w:styleId="7-TitreAPROPOSCar">
    <w:name w:val="7-Titre A PROPOS Car"/>
    <w:basedOn w:val="TitreparagrapheCar"/>
    <w:link w:val="7-TitreAPROPOS"/>
    <w:rsid w:val="007108CA"/>
    <w:rPr>
      <w:rFonts w:ascii="Verdana" w:hAnsi="Verdana"/>
      <w:b/>
      <w:color w:val="581D74"/>
      <w:sz w:val="18"/>
      <w:szCs w:val="18"/>
      <w:lang w:val="pt-BR"/>
    </w:rPr>
  </w:style>
  <w:style w:type="character" w:customStyle="1" w:styleId="5-INTERCar">
    <w:name w:val="5-INTER Car"/>
    <w:basedOn w:val="BoldvioletCar"/>
    <w:link w:val="5-INTER"/>
    <w:rsid w:val="007108CA"/>
    <w:rPr>
      <w:rFonts w:ascii="Verdana" w:eastAsia="Times New Roman" w:hAnsi="Verdana" w:cs="Times New Roman"/>
      <w:b/>
      <w:color w:val="581D74" w:themeColor="accent1"/>
      <w:sz w:val="20"/>
      <w:szCs w:val="24"/>
    </w:rPr>
  </w:style>
  <w:style w:type="paragraph" w:customStyle="1" w:styleId="6-LISTEPUCE">
    <w:name w:val="6- LISTE PUCE"/>
    <w:basedOn w:val="4-TEXTECOURANTcommuniqu"/>
    <w:link w:val="6-LISTEPUCECar"/>
    <w:qFormat/>
    <w:rsid w:val="007108CA"/>
    <w:pPr>
      <w:numPr>
        <w:numId w:val="2"/>
      </w:numPr>
    </w:pPr>
  </w:style>
  <w:style w:type="character" w:customStyle="1" w:styleId="6-LISTEPUCECar">
    <w:name w:val="6- LISTE PUCE Car"/>
    <w:basedOn w:val="4-TEXTECOURANTcommuniquCar"/>
    <w:link w:val="6-LISTEPUCE"/>
    <w:rsid w:val="007108CA"/>
    <w:rPr>
      <w:rFonts w:ascii="Verdana" w:hAnsi="Verdana"/>
      <w:sz w:val="20"/>
      <w:szCs w:val="20"/>
    </w:rPr>
  </w:style>
  <w:style w:type="paragraph" w:styleId="Notedebasdepage">
    <w:name w:val="footnote text"/>
    <w:basedOn w:val="Normal"/>
    <w:link w:val="NotedebasdepageCar"/>
    <w:uiPriority w:val="99"/>
    <w:rsid w:val="004C7B7C"/>
    <w:pPr>
      <w:spacing w:line="340" w:lineRule="atLeast"/>
      <w:jc w:val="left"/>
    </w:pPr>
    <w:rPr>
      <w:rFonts w:eastAsia="Times New Roman" w:cs="Times New Roman"/>
      <w:sz w:val="20"/>
      <w:szCs w:val="20"/>
    </w:rPr>
  </w:style>
  <w:style w:type="character" w:customStyle="1" w:styleId="NotedebasdepageCar">
    <w:name w:val="Note de bas de page Car"/>
    <w:basedOn w:val="Policepardfaut"/>
    <w:link w:val="Notedebasdepage"/>
    <w:uiPriority w:val="99"/>
    <w:rsid w:val="004C7B7C"/>
    <w:rPr>
      <w:rFonts w:ascii="Verdana" w:eastAsia="Times New Roman" w:hAnsi="Verdana" w:cs="Times New Roman"/>
      <w:sz w:val="20"/>
      <w:szCs w:val="20"/>
    </w:rPr>
  </w:style>
  <w:style w:type="character" w:styleId="Appelnotedebasdep">
    <w:name w:val="footnote reference"/>
    <w:uiPriority w:val="99"/>
    <w:rsid w:val="004C7B7C"/>
    <w:rPr>
      <w:vertAlign w:val="superscript"/>
    </w:rPr>
  </w:style>
  <w:style w:type="character" w:customStyle="1" w:styleId="PieddepageCar">
    <w:name w:val="Pied de page Car"/>
    <w:link w:val="Pieddepage"/>
    <w:uiPriority w:val="99"/>
    <w:rsid w:val="004C7B7C"/>
    <w:rPr>
      <w:rFonts w:ascii="Verdana" w:hAnsi="Verdana"/>
    </w:rPr>
  </w:style>
  <w:style w:type="paragraph" w:styleId="Paragraphedeliste">
    <w:name w:val="List Paragraph"/>
    <w:basedOn w:val="Normal"/>
    <w:uiPriority w:val="34"/>
    <w:qFormat/>
    <w:rsid w:val="004C7B7C"/>
    <w:pPr>
      <w:ind w:left="720"/>
      <w:contextualSpacing/>
    </w:pPr>
  </w:style>
  <w:style w:type="numbering" w:customStyle="1" w:styleId="Aucuneliste1">
    <w:name w:val="Aucune liste1"/>
    <w:next w:val="Aucuneliste"/>
    <w:semiHidden/>
    <w:unhideWhenUsed/>
    <w:rsid w:val="004C7B7C"/>
  </w:style>
  <w:style w:type="character" w:customStyle="1" w:styleId="En-tteCar">
    <w:name w:val="En-tête Car"/>
    <w:basedOn w:val="Policepardfaut"/>
    <w:link w:val="En-tte"/>
    <w:rsid w:val="004C7B7C"/>
    <w:rPr>
      <w:rFonts w:ascii="Verdana" w:hAnsi="Verdana"/>
    </w:rPr>
  </w:style>
  <w:style w:type="character" w:customStyle="1" w:styleId="TextebrutCar">
    <w:name w:val="Texte brut Car"/>
    <w:link w:val="Textebrut"/>
    <w:rsid w:val="004C7B7C"/>
    <w:rPr>
      <w:rFonts w:ascii="Consolas" w:hAnsi="Consolas"/>
    </w:rPr>
  </w:style>
  <w:style w:type="paragraph" w:styleId="Textebrut">
    <w:name w:val="Plain Text"/>
    <w:basedOn w:val="Normal"/>
    <w:link w:val="TextebrutCar"/>
    <w:rsid w:val="004C7B7C"/>
    <w:pPr>
      <w:jc w:val="left"/>
    </w:pPr>
    <w:rPr>
      <w:rFonts w:ascii="Consolas" w:hAnsi="Consolas"/>
    </w:rPr>
  </w:style>
  <w:style w:type="character" w:customStyle="1" w:styleId="TextebrutCar1">
    <w:name w:val="Texte brut Car1"/>
    <w:basedOn w:val="Policepardfaut"/>
    <w:uiPriority w:val="99"/>
    <w:rsid w:val="004C7B7C"/>
    <w:rPr>
      <w:rFonts w:ascii="Consolas" w:hAnsi="Consolas" w:cs="Consolas"/>
      <w:sz w:val="21"/>
      <w:szCs w:val="21"/>
    </w:rPr>
  </w:style>
  <w:style w:type="character" w:customStyle="1" w:styleId="TextedebullesCar">
    <w:name w:val="Texte de bulles Car"/>
    <w:basedOn w:val="Policepardfaut"/>
    <w:link w:val="Textedebulles"/>
    <w:semiHidden/>
    <w:rsid w:val="004C7B7C"/>
    <w:rPr>
      <w:rFonts w:ascii="Tahoma" w:hAnsi="Tahoma" w:cs="Tahoma"/>
      <w:sz w:val="16"/>
      <w:szCs w:val="16"/>
    </w:rPr>
  </w:style>
  <w:style w:type="character" w:styleId="Marquedecommentaire">
    <w:name w:val="annotation reference"/>
    <w:uiPriority w:val="99"/>
    <w:rsid w:val="004C7B7C"/>
    <w:rPr>
      <w:sz w:val="16"/>
      <w:szCs w:val="16"/>
    </w:rPr>
  </w:style>
  <w:style w:type="paragraph" w:styleId="Commentaire">
    <w:name w:val="annotation text"/>
    <w:basedOn w:val="Normal"/>
    <w:link w:val="CommentaireCar"/>
    <w:uiPriority w:val="99"/>
    <w:rsid w:val="004C7B7C"/>
    <w:pPr>
      <w:spacing w:line="340" w:lineRule="atLeast"/>
      <w:jc w:val="left"/>
    </w:pPr>
    <w:rPr>
      <w:rFonts w:eastAsia="Times New Roman" w:cs="Times New Roman"/>
      <w:sz w:val="20"/>
      <w:szCs w:val="20"/>
    </w:rPr>
  </w:style>
  <w:style w:type="character" w:customStyle="1" w:styleId="CommentaireCar">
    <w:name w:val="Commentaire Car"/>
    <w:basedOn w:val="Policepardfaut"/>
    <w:link w:val="Commentaire"/>
    <w:uiPriority w:val="99"/>
    <w:rsid w:val="004C7B7C"/>
    <w:rPr>
      <w:rFonts w:ascii="Verdana" w:eastAsia="Times New Roman" w:hAnsi="Verdana" w:cs="Times New Roman"/>
      <w:sz w:val="20"/>
      <w:szCs w:val="20"/>
    </w:rPr>
  </w:style>
  <w:style w:type="paragraph" w:styleId="Objetducommentaire">
    <w:name w:val="annotation subject"/>
    <w:basedOn w:val="Commentaire"/>
    <w:next w:val="Commentaire"/>
    <w:link w:val="ObjetducommentaireCar"/>
    <w:rsid w:val="004C7B7C"/>
    <w:rPr>
      <w:b/>
      <w:bCs/>
    </w:rPr>
  </w:style>
  <w:style w:type="character" w:customStyle="1" w:styleId="ObjetducommentaireCar">
    <w:name w:val="Objet du commentaire Car"/>
    <w:basedOn w:val="CommentaireCar"/>
    <w:link w:val="Objetducommentaire"/>
    <w:rsid w:val="004C7B7C"/>
    <w:rPr>
      <w:rFonts w:ascii="Verdana" w:eastAsia="Times New Roman" w:hAnsi="Verdana" w:cs="Times New Roman"/>
      <w:b/>
      <w:bCs/>
      <w:sz w:val="20"/>
      <w:szCs w:val="20"/>
    </w:rPr>
  </w:style>
  <w:style w:type="table" w:customStyle="1" w:styleId="Grilledutableau1">
    <w:name w:val="Grille du tableau1"/>
    <w:basedOn w:val="TableauNormal"/>
    <w:next w:val="Grilledutableau"/>
    <w:rsid w:val="004C7B7C"/>
    <w:pPr>
      <w:spacing w:after="0" w:line="340" w:lineRule="atLeas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centuation">
    <w:name w:val="Emphasis"/>
    <w:qFormat/>
    <w:rsid w:val="004C7B7C"/>
    <w:rPr>
      <w:i/>
      <w:iCs/>
    </w:rPr>
  </w:style>
  <w:style w:type="paragraph" w:styleId="NormalWeb">
    <w:name w:val="Normal (Web)"/>
    <w:basedOn w:val="Normal"/>
    <w:uiPriority w:val="99"/>
    <w:rsid w:val="004C7B7C"/>
    <w:pPr>
      <w:spacing w:before="100" w:beforeAutospacing="1" w:after="100" w:afterAutospacing="1"/>
      <w:jc w:val="left"/>
    </w:pPr>
    <w:rPr>
      <w:rFonts w:ascii="Times New Roman" w:eastAsia="Times New Roman" w:hAnsi="Times New Roman" w:cs="Times New Roman"/>
      <w:sz w:val="24"/>
      <w:szCs w:val="24"/>
    </w:rPr>
  </w:style>
  <w:style w:type="paragraph" w:customStyle="1" w:styleId="s25">
    <w:name w:val="s25"/>
    <w:basedOn w:val="Normal"/>
    <w:rsid w:val="004C7B7C"/>
    <w:pPr>
      <w:spacing w:before="100" w:beforeAutospacing="1" w:after="100" w:afterAutospacing="1"/>
      <w:jc w:val="left"/>
    </w:pPr>
    <w:rPr>
      <w:rFonts w:ascii="Times New Roman" w:eastAsia="Times New Roman" w:hAnsi="Times New Roman" w:cs="Times New Roman"/>
      <w:sz w:val="24"/>
      <w:szCs w:val="24"/>
    </w:rPr>
  </w:style>
  <w:style w:type="character" w:customStyle="1" w:styleId="apple-style-span">
    <w:name w:val="apple-style-span"/>
    <w:rsid w:val="004C7B7C"/>
    <w:rPr>
      <w:rFonts w:cs="Times New Roman"/>
    </w:rPr>
  </w:style>
  <w:style w:type="character" w:customStyle="1" w:styleId="s4">
    <w:name w:val="s4"/>
    <w:rsid w:val="004C7B7C"/>
    <w:rPr>
      <w:rFonts w:cs="Times New Roman"/>
    </w:rPr>
  </w:style>
  <w:style w:type="character" w:styleId="Appeldenotedefin">
    <w:name w:val="endnote reference"/>
    <w:rsid w:val="004C7B7C"/>
    <w:rPr>
      <w:vertAlign w:val="superscript"/>
    </w:rPr>
  </w:style>
  <w:style w:type="paragraph" w:styleId="Rvision">
    <w:name w:val="Revision"/>
    <w:hidden/>
    <w:uiPriority w:val="99"/>
    <w:semiHidden/>
    <w:rsid w:val="004C7B7C"/>
    <w:pPr>
      <w:spacing w:after="0" w:line="240" w:lineRule="auto"/>
    </w:pPr>
    <w:rPr>
      <w:rFonts w:ascii="Verdana" w:eastAsia="Times New Roman" w:hAnsi="Verdana" w:cs="Times New Roman"/>
      <w:sz w:val="20"/>
      <w:szCs w:val="20"/>
    </w:rPr>
  </w:style>
  <w:style w:type="paragraph" w:customStyle="1" w:styleId="note">
    <w:name w:val="note"/>
    <w:basedOn w:val="Notedebasdepage"/>
    <w:link w:val="noteCar"/>
    <w:qFormat/>
    <w:rsid w:val="00FC3D98"/>
    <w:pPr>
      <w:tabs>
        <w:tab w:val="left" w:pos="142"/>
      </w:tabs>
      <w:spacing w:before="80" w:line="240" w:lineRule="auto"/>
      <w:ind w:left="142" w:hanging="142"/>
    </w:pPr>
    <w:rPr>
      <w:sz w:val="16"/>
      <w:szCs w:val="16"/>
    </w:rPr>
  </w:style>
  <w:style w:type="character" w:customStyle="1" w:styleId="noteCar">
    <w:name w:val="note Car"/>
    <w:basedOn w:val="NotedebasdepageCar"/>
    <w:link w:val="note"/>
    <w:rsid w:val="00FC3D98"/>
    <w:rPr>
      <w:rFonts w:ascii="Verdana" w:eastAsia="Times New Roman" w:hAnsi="Verdana" w:cs="Times New Roman"/>
      <w:sz w:val="16"/>
      <w:szCs w:val="16"/>
    </w:rPr>
  </w:style>
  <w:style w:type="paragraph" w:customStyle="1" w:styleId="Default">
    <w:name w:val="Default"/>
    <w:rsid w:val="00E53335"/>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63114">
      <w:bodyDiv w:val="1"/>
      <w:marLeft w:val="0"/>
      <w:marRight w:val="0"/>
      <w:marTop w:val="0"/>
      <w:marBottom w:val="0"/>
      <w:divBdr>
        <w:top w:val="none" w:sz="0" w:space="0" w:color="auto"/>
        <w:left w:val="none" w:sz="0" w:space="0" w:color="auto"/>
        <w:bottom w:val="none" w:sz="0" w:space="0" w:color="auto"/>
        <w:right w:val="none" w:sz="0" w:space="0" w:color="auto"/>
      </w:divBdr>
    </w:div>
    <w:div w:id="259073943">
      <w:bodyDiv w:val="1"/>
      <w:marLeft w:val="0"/>
      <w:marRight w:val="0"/>
      <w:marTop w:val="0"/>
      <w:marBottom w:val="0"/>
      <w:divBdr>
        <w:top w:val="none" w:sz="0" w:space="0" w:color="auto"/>
        <w:left w:val="none" w:sz="0" w:space="0" w:color="auto"/>
        <w:bottom w:val="none" w:sz="0" w:space="0" w:color="auto"/>
        <w:right w:val="none" w:sz="0" w:space="0" w:color="auto"/>
      </w:divBdr>
    </w:div>
    <w:div w:id="306400874">
      <w:bodyDiv w:val="1"/>
      <w:marLeft w:val="0"/>
      <w:marRight w:val="0"/>
      <w:marTop w:val="0"/>
      <w:marBottom w:val="0"/>
      <w:divBdr>
        <w:top w:val="none" w:sz="0" w:space="0" w:color="auto"/>
        <w:left w:val="none" w:sz="0" w:space="0" w:color="auto"/>
        <w:bottom w:val="none" w:sz="0" w:space="0" w:color="auto"/>
        <w:right w:val="none" w:sz="0" w:space="0" w:color="auto"/>
      </w:divBdr>
    </w:div>
    <w:div w:id="1006788060">
      <w:bodyDiv w:val="1"/>
      <w:marLeft w:val="0"/>
      <w:marRight w:val="0"/>
      <w:marTop w:val="0"/>
      <w:marBottom w:val="0"/>
      <w:divBdr>
        <w:top w:val="none" w:sz="0" w:space="0" w:color="auto"/>
        <w:left w:val="none" w:sz="0" w:space="0" w:color="auto"/>
        <w:bottom w:val="none" w:sz="0" w:space="0" w:color="auto"/>
        <w:right w:val="none" w:sz="0" w:space="0" w:color="auto"/>
      </w:divBdr>
    </w:div>
    <w:div w:id="1030035584">
      <w:bodyDiv w:val="1"/>
      <w:marLeft w:val="0"/>
      <w:marRight w:val="0"/>
      <w:marTop w:val="0"/>
      <w:marBottom w:val="0"/>
      <w:divBdr>
        <w:top w:val="none" w:sz="0" w:space="0" w:color="auto"/>
        <w:left w:val="none" w:sz="0" w:space="0" w:color="auto"/>
        <w:bottom w:val="none" w:sz="0" w:space="0" w:color="auto"/>
        <w:right w:val="none" w:sz="0" w:space="0" w:color="auto"/>
      </w:divBdr>
    </w:div>
    <w:div w:id="1039937870">
      <w:bodyDiv w:val="1"/>
      <w:marLeft w:val="0"/>
      <w:marRight w:val="0"/>
      <w:marTop w:val="0"/>
      <w:marBottom w:val="0"/>
      <w:divBdr>
        <w:top w:val="none" w:sz="0" w:space="0" w:color="auto"/>
        <w:left w:val="none" w:sz="0" w:space="0" w:color="auto"/>
        <w:bottom w:val="none" w:sz="0" w:space="0" w:color="auto"/>
        <w:right w:val="none" w:sz="0" w:space="0" w:color="auto"/>
      </w:divBdr>
    </w:div>
    <w:div w:id="1100176403">
      <w:bodyDiv w:val="1"/>
      <w:marLeft w:val="0"/>
      <w:marRight w:val="0"/>
      <w:marTop w:val="0"/>
      <w:marBottom w:val="0"/>
      <w:divBdr>
        <w:top w:val="none" w:sz="0" w:space="0" w:color="auto"/>
        <w:left w:val="none" w:sz="0" w:space="0" w:color="auto"/>
        <w:bottom w:val="none" w:sz="0" w:space="0" w:color="auto"/>
        <w:right w:val="none" w:sz="0" w:space="0" w:color="auto"/>
      </w:divBdr>
    </w:div>
    <w:div w:id="1255242302">
      <w:bodyDiv w:val="1"/>
      <w:marLeft w:val="0"/>
      <w:marRight w:val="0"/>
      <w:marTop w:val="0"/>
      <w:marBottom w:val="0"/>
      <w:divBdr>
        <w:top w:val="none" w:sz="0" w:space="0" w:color="auto"/>
        <w:left w:val="none" w:sz="0" w:space="0" w:color="auto"/>
        <w:bottom w:val="none" w:sz="0" w:space="0" w:color="auto"/>
        <w:right w:val="none" w:sz="0" w:space="0" w:color="auto"/>
      </w:divBdr>
      <w:divsChild>
        <w:div w:id="2075278012">
          <w:marLeft w:val="230"/>
          <w:marRight w:val="0"/>
          <w:marTop w:val="40"/>
          <w:marBottom w:val="0"/>
          <w:divBdr>
            <w:top w:val="none" w:sz="0" w:space="0" w:color="auto"/>
            <w:left w:val="none" w:sz="0" w:space="0" w:color="auto"/>
            <w:bottom w:val="none" w:sz="0" w:space="0" w:color="auto"/>
            <w:right w:val="none" w:sz="0" w:space="0" w:color="auto"/>
          </w:divBdr>
        </w:div>
        <w:div w:id="2106923308">
          <w:marLeft w:val="230"/>
          <w:marRight w:val="0"/>
          <w:marTop w:val="40"/>
          <w:marBottom w:val="0"/>
          <w:divBdr>
            <w:top w:val="none" w:sz="0" w:space="0" w:color="auto"/>
            <w:left w:val="none" w:sz="0" w:space="0" w:color="auto"/>
            <w:bottom w:val="none" w:sz="0" w:space="0" w:color="auto"/>
            <w:right w:val="none" w:sz="0" w:space="0" w:color="auto"/>
          </w:divBdr>
        </w:div>
      </w:divsChild>
    </w:div>
    <w:div w:id="1263345718">
      <w:bodyDiv w:val="1"/>
      <w:marLeft w:val="0"/>
      <w:marRight w:val="0"/>
      <w:marTop w:val="0"/>
      <w:marBottom w:val="0"/>
      <w:divBdr>
        <w:top w:val="none" w:sz="0" w:space="0" w:color="auto"/>
        <w:left w:val="none" w:sz="0" w:space="0" w:color="auto"/>
        <w:bottom w:val="none" w:sz="0" w:space="0" w:color="auto"/>
        <w:right w:val="none" w:sz="0" w:space="0" w:color="auto"/>
      </w:divBdr>
    </w:div>
    <w:div w:id="1481188872">
      <w:bodyDiv w:val="1"/>
      <w:marLeft w:val="0"/>
      <w:marRight w:val="0"/>
      <w:marTop w:val="0"/>
      <w:marBottom w:val="0"/>
      <w:divBdr>
        <w:top w:val="none" w:sz="0" w:space="0" w:color="auto"/>
        <w:left w:val="none" w:sz="0" w:space="0" w:color="auto"/>
        <w:bottom w:val="none" w:sz="0" w:space="0" w:color="auto"/>
        <w:right w:val="none" w:sz="0" w:space="0" w:color="auto"/>
      </w:divBdr>
    </w:div>
    <w:div w:id="1752267775">
      <w:bodyDiv w:val="1"/>
      <w:marLeft w:val="0"/>
      <w:marRight w:val="0"/>
      <w:marTop w:val="0"/>
      <w:marBottom w:val="0"/>
      <w:divBdr>
        <w:top w:val="none" w:sz="0" w:space="0" w:color="auto"/>
        <w:left w:val="none" w:sz="0" w:space="0" w:color="auto"/>
        <w:bottom w:val="none" w:sz="0" w:space="0" w:color="auto"/>
        <w:right w:val="none" w:sz="0" w:space="0" w:color="auto"/>
      </w:divBdr>
    </w:div>
    <w:div w:id="1895966167">
      <w:bodyDiv w:val="1"/>
      <w:marLeft w:val="0"/>
      <w:marRight w:val="0"/>
      <w:marTop w:val="0"/>
      <w:marBottom w:val="0"/>
      <w:divBdr>
        <w:top w:val="none" w:sz="0" w:space="0" w:color="auto"/>
        <w:left w:val="none" w:sz="0" w:space="0" w:color="auto"/>
        <w:bottom w:val="none" w:sz="0" w:space="0" w:color="auto"/>
        <w:right w:val="none" w:sz="0" w:space="0" w:color="auto"/>
      </w:divBdr>
    </w:div>
    <w:div w:id="191307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witter.com/GroupeBPC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bpce.f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vestor.relations@bpce.fr"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presse@bpce.fr"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natixis.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BPCE">
      <a:dk1>
        <a:srgbClr val="000000"/>
      </a:dk1>
      <a:lt1>
        <a:srgbClr val="FFFFFF"/>
      </a:lt1>
      <a:dk2>
        <a:srgbClr val="825D69"/>
      </a:dk2>
      <a:lt2>
        <a:srgbClr val="D6D2E3"/>
      </a:lt2>
      <a:accent1>
        <a:srgbClr val="581D74"/>
      </a:accent1>
      <a:accent2>
        <a:srgbClr val="A778AE"/>
      </a:accent2>
      <a:accent3>
        <a:srgbClr val="F47920"/>
      </a:accent3>
      <a:accent4>
        <a:srgbClr val="B0006C"/>
      </a:accent4>
      <a:accent5>
        <a:srgbClr val="BDCF41"/>
      </a:accent5>
      <a:accent6>
        <a:srgbClr val="00B2CB"/>
      </a:accent6>
      <a:hlink>
        <a:srgbClr val="976C9D"/>
      </a:hlink>
      <a:folHlink>
        <a:srgbClr val="00ABA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7B85A-82CE-4A83-98AD-D0F18B841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5697</Words>
  <Characters>31336</Characters>
  <Application>Microsoft Office Word</Application>
  <DocSecurity>0</DocSecurity>
  <Lines>261</Lines>
  <Paragraphs>73</Paragraphs>
  <ScaleCrop>false</ScaleCrop>
  <HeadingPairs>
    <vt:vector size="2" baseType="variant">
      <vt:variant>
        <vt:lpstr>Titre</vt:lpstr>
      </vt:variant>
      <vt:variant>
        <vt:i4>1</vt:i4>
      </vt:variant>
    </vt:vector>
  </HeadingPairs>
  <TitlesOfParts>
    <vt:vector size="1" baseType="lpstr">
      <vt:lpstr>BPCE</vt:lpstr>
    </vt:vector>
  </TitlesOfParts>
  <Company>BPCE</Company>
  <LinksUpToDate>false</LinksUpToDate>
  <CharactersWithSpaces>36960</CharactersWithSpaces>
  <SharedDoc>false</SharedDoc>
  <HyperlinkBase/>
  <HLinks>
    <vt:vector size="12" baseType="variant">
      <vt:variant>
        <vt:i4>7733283</vt:i4>
      </vt:variant>
      <vt:variant>
        <vt:i4>3</vt:i4>
      </vt:variant>
      <vt:variant>
        <vt:i4>0</vt:i4>
      </vt:variant>
      <vt:variant>
        <vt:i4>5</vt:i4>
      </vt:variant>
      <vt:variant>
        <vt:lpwstr>http://www.bpce.fr/</vt:lpwstr>
      </vt:variant>
      <vt:variant>
        <vt:lpwstr/>
      </vt:variant>
      <vt:variant>
        <vt:i4>3604481</vt:i4>
      </vt:variant>
      <vt:variant>
        <vt:i4>0</vt:i4>
      </vt:variant>
      <vt:variant>
        <vt:i4>0</vt:i4>
      </vt:variant>
      <vt:variant>
        <vt:i4>5</vt:i4>
      </vt:variant>
      <vt:variant>
        <vt:lpwstr>mailto:presse@bpce.fr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BPCE</dc:title>
  <dc:creator>yollant</dc:creator>
  <cp:lastModifiedBy>declaye</cp:lastModifiedBy>
  <cp:revision>2</cp:revision>
  <cp:lastPrinted>2014-11-04T16:16:00Z</cp:lastPrinted>
  <dcterms:created xsi:type="dcterms:W3CDTF">2014-11-04T16:34:00Z</dcterms:created>
  <dcterms:modified xsi:type="dcterms:W3CDTF">2014-11-04T16:34:00Z</dcterms:modified>
</cp:coreProperties>
</file>