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BA7" w:rsidRPr="00DC4366" w:rsidRDefault="00400B40" w:rsidP="00DC4366">
      <w:pPr>
        <w:pStyle w:val="1-DATEcommuniqu"/>
      </w:pPr>
      <w:r w:rsidRPr="00DC4366">
        <w:t xml:space="preserve">Paris, le </w:t>
      </w:r>
      <w:r w:rsidR="00AB03C8">
        <w:t>6 mai 2015</w:t>
      </w:r>
    </w:p>
    <w:p w:rsidR="00E40854" w:rsidRPr="00A905D1" w:rsidRDefault="00E40854" w:rsidP="00E40854">
      <w:pPr>
        <w:rPr>
          <w:sz w:val="20"/>
          <w:szCs w:val="20"/>
        </w:rPr>
      </w:pPr>
    </w:p>
    <w:tbl>
      <w:tblPr>
        <w:tblStyle w:val="Grilledutableau"/>
        <w:tblW w:w="10187" w:type="dxa"/>
        <w:shd w:val="clear" w:color="auto" w:fill="D9D9D9" w:themeFill="background1" w:themeFillShade="D9"/>
        <w:tblLayout w:type="fixed"/>
        <w:tblCellMar>
          <w:right w:w="142" w:type="dxa"/>
        </w:tblCellMar>
        <w:tblLook w:val="04A0" w:firstRow="1" w:lastRow="0" w:firstColumn="1" w:lastColumn="0" w:noHBand="0" w:noVBand="1"/>
      </w:tblPr>
      <w:tblGrid>
        <w:gridCol w:w="10187"/>
      </w:tblGrid>
      <w:tr w:rsidR="00C17A07" w:rsidRPr="007F353A" w:rsidTr="003A4476">
        <w:trPr>
          <w:trHeight w:val="624"/>
        </w:trPr>
        <w:tc>
          <w:tcPr>
            <w:tcW w:w="10187" w:type="dxa"/>
            <w:tcBorders>
              <w:top w:val="nil"/>
              <w:left w:val="nil"/>
              <w:bottom w:val="nil"/>
              <w:right w:val="nil"/>
            </w:tcBorders>
            <w:shd w:val="clear" w:color="auto" w:fill="auto"/>
          </w:tcPr>
          <w:p w:rsidR="00C17A07" w:rsidRPr="008C6CB2" w:rsidRDefault="00C17A07" w:rsidP="005A390E">
            <w:pPr>
              <w:pStyle w:val="Titre1"/>
              <w:tabs>
                <w:tab w:val="left" w:pos="290"/>
                <w:tab w:val="center" w:pos="4984"/>
              </w:tabs>
              <w:spacing w:before="240" w:after="0" w:line="240" w:lineRule="auto"/>
              <w:ind w:left="-96" w:right="-108"/>
              <w:jc w:val="center"/>
              <w:rPr>
                <w:color w:val="FFFFFF" w:themeColor="background1"/>
                <w:position w:val="6"/>
                <w:sz w:val="28"/>
                <w:szCs w:val="26"/>
              </w:rPr>
            </w:pPr>
            <w:r w:rsidRPr="008C6CB2">
              <w:rPr>
                <w:noProof/>
                <w:color w:val="581D74" w:themeColor="accent1"/>
                <w:sz w:val="28"/>
                <w:szCs w:val="26"/>
              </w:rPr>
              <w:drawing>
                <wp:anchor distT="0" distB="0" distL="114300" distR="114300" simplePos="0" relativeHeight="251660288" behindDoc="1" locked="0" layoutInCell="1" allowOverlap="1" wp14:anchorId="3BB30F78" wp14:editId="5F655133">
                  <wp:simplePos x="0" y="0"/>
                  <wp:positionH relativeFrom="column">
                    <wp:posOffset>-64770</wp:posOffset>
                  </wp:positionH>
                  <wp:positionV relativeFrom="paragraph">
                    <wp:posOffset>5715</wp:posOffset>
                  </wp:positionV>
                  <wp:extent cx="6480000" cy="409590"/>
                  <wp:effectExtent l="0" t="0" r="0" b="0"/>
                  <wp:wrapNone/>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000" cy="409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6CB2">
              <w:rPr>
                <w:color w:val="FFFFFF" w:themeColor="background1"/>
                <w:position w:val="6"/>
                <w:sz w:val="28"/>
                <w:szCs w:val="26"/>
              </w:rPr>
              <w:t>RÉSULTATS</w:t>
            </w:r>
            <w:bookmarkStart w:id="0" w:name="_Ref414027813"/>
            <w:r>
              <w:rPr>
                <w:rStyle w:val="Appelnotedebasdep"/>
                <w:color w:val="FFFFFF" w:themeColor="background1"/>
                <w:position w:val="6"/>
                <w:sz w:val="28"/>
                <w:szCs w:val="26"/>
              </w:rPr>
              <w:footnoteReference w:id="1"/>
            </w:r>
            <w:bookmarkEnd w:id="0"/>
            <w:r w:rsidRPr="008C6CB2">
              <w:rPr>
                <w:color w:val="FFFFFF" w:themeColor="background1"/>
                <w:position w:val="6"/>
                <w:sz w:val="28"/>
                <w:szCs w:val="26"/>
              </w:rPr>
              <w:t xml:space="preserve"> </w:t>
            </w:r>
            <w:r w:rsidR="00E302CA">
              <w:rPr>
                <w:color w:val="FFFFFF" w:themeColor="background1"/>
                <w:position w:val="6"/>
                <w:sz w:val="28"/>
                <w:szCs w:val="26"/>
              </w:rPr>
              <w:t>DU PREMIER TRIMESTRE 2015</w:t>
            </w:r>
            <w:r w:rsidR="00A157B3">
              <w:rPr>
                <w:color w:val="FFFFFF" w:themeColor="background1"/>
                <w:position w:val="6"/>
                <w:sz w:val="28"/>
                <w:szCs w:val="26"/>
              </w:rPr>
              <w:t xml:space="preserve"> DU GROUPE BPCE</w:t>
            </w:r>
          </w:p>
        </w:tc>
      </w:tr>
      <w:tr w:rsidR="00C17A07" w:rsidRPr="007F353A" w:rsidTr="003A4476">
        <w:tc>
          <w:tcPr>
            <w:tcW w:w="10187" w:type="dxa"/>
            <w:tcBorders>
              <w:top w:val="nil"/>
              <w:left w:val="nil"/>
              <w:bottom w:val="nil"/>
              <w:right w:val="nil"/>
            </w:tcBorders>
            <w:shd w:val="clear" w:color="auto" w:fill="D9D9D9" w:themeFill="background1" w:themeFillShade="D9"/>
          </w:tcPr>
          <w:p w:rsidR="00C17A07" w:rsidRPr="00453D34" w:rsidRDefault="00AB03C8" w:rsidP="00010138">
            <w:pPr>
              <w:pStyle w:val="Titre1"/>
              <w:spacing w:before="160" w:after="0" w:line="240" w:lineRule="auto"/>
              <w:ind w:left="363"/>
              <w:jc w:val="both"/>
              <w:rPr>
                <w:color w:val="581D74" w:themeColor="accent1"/>
                <w:spacing w:val="-4"/>
                <w:sz w:val="26"/>
                <w:szCs w:val="26"/>
              </w:rPr>
            </w:pPr>
            <w:r w:rsidRPr="00453D34">
              <w:rPr>
                <w:color w:val="581D74" w:themeColor="accent1"/>
                <w:spacing w:val="-4"/>
                <w:sz w:val="26"/>
                <w:szCs w:val="26"/>
              </w:rPr>
              <w:t>P</w:t>
            </w:r>
            <w:r w:rsidR="00C17A07" w:rsidRPr="00453D34">
              <w:rPr>
                <w:color w:val="581D74" w:themeColor="accent1"/>
                <w:spacing w:val="-4"/>
                <w:sz w:val="26"/>
                <w:szCs w:val="26"/>
              </w:rPr>
              <w:t xml:space="preserve">erformances </w:t>
            </w:r>
            <w:r w:rsidRPr="00453D34">
              <w:rPr>
                <w:color w:val="581D74" w:themeColor="accent1"/>
                <w:spacing w:val="-4"/>
                <w:sz w:val="26"/>
                <w:szCs w:val="26"/>
              </w:rPr>
              <w:t xml:space="preserve">robustes </w:t>
            </w:r>
            <w:r w:rsidR="00C17A07" w:rsidRPr="00453D34">
              <w:rPr>
                <w:color w:val="581D74" w:themeColor="accent1"/>
                <w:spacing w:val="-4"/>
                <w:sz w:val="26"/>
                <w:szCs w:val="26"/>
              </w:rPr>
              <w:t xml:space="preserve">du Groupe BPCE </w:t>
            </w:r>
            <w:r w:rsidR="00A157B3" w:rsidRPr="00453D34">
              <w:rPr>
                <w:color w:val="581D74" w:themeColor="accent1"/>
                <w:spacing w:val="-4"/>
                <w:sz w:val="26"/>
                <w:szCs w:val="26"/>
              </w:rPr>
              <w:t xml:space="preserve">au </w:t>
            </w:r>
            <w:r w:rsidR="008E7A5C" w:rsidRPr="00453D34">
              <w:rPr>
                <w:color w:val="581D74" w:themeColor="accent1"/>
                <w:spacing w:val="-4"/>
                <w:sz w:val="26"/>
                <w:szCs w:val="26"/>
              </w:rPr>
              <w:t>T1</w:t>
            </w:r>
            <w:r w:rsidR="009945FC" w:rsidRPr="00453D34">
              <w:rPr>
                <w:color w:val="581D74" w:themeColor="accent1"/>
                <w:spacing w:val="-4"/>
                <w:sz w:val="26"/>
                <w:szCs w:val="26"/>
              </w:rPr>
              <w:t>-</w:t>
            </w:r>
            <w:r w:rsidR="00A157B3" w:rsidRPr="00453D34">
              <w:rPr>
                <w:color w:val="581D74" w:themeColor="accent1"/>
                <w:spacing w:val="-4"/>
                <w:sz w:val="26"/>
                <w:szCs w:val="26"/>
              </w:rPr>
              <w:t>2015</w:t>
            </w:r>
            <w:r w:rsidR="00C17A07" w:rsidRPr="00453D34">
              <w:rPr>
                <w:color w:val="581D74" w:themeColor="accent1"/>
                <w:spacing w:val="-4"/>
                <w:sz w:val="26"/>
                <w:szCs w:val="26"/>
              </w:rPr>
              <w:t xml:space="preserve">, avec un résultat </w:t>
            </w:r>
            <w:bookmarkStart w:id="1" w:name="_Ref414026589"/>
            <w:r w:rsidR="00EA0F85" w:rsidRPr="00453D34">
              <w:rPr>
                <w:color w:val="581D74" w:themeColor="accent1"/>
                <w:spacing w:val="-4"/>
                <w:sz w:val="26"/>
                <w:szCs w:val="26"/>
              </w:rPr>
              <w:t>net</w:t>
            </w:r>
            <w:r w:rsidR="00C72515" w:rsidRPr="00453D34">
              <w:rPr>
                <w:color w:val="581D74" w:themeColor="accent1"/>
                <w:spacing w:val="-4"/>
                <w:sz w:val="26"/>
                <w:szCs w:val="26"/>
              </w:rPr>
              <w:t xml:space="preserve"> part du groupe</w:t>
            </w:r>
            <w:bookmarkEnd w:id="1"/>
            <w:r w:rsidR="00C72515" w:rsidRPr="00453D34">
              <w:rPr>
                <w:color w:val="581D74" w:themeColor="accent1"/>
                <w:spacing w:val="-4"/>
                <w:sz w:val="26"/>
                <w:szCs w:val="26"/>
              </w:rPr>
              <w:t xml:space="preserve"> (hors </w:t>
            </w:r>
            <w:r w:rsidR="007C7DB2" w:rsidRPr="00453D34">
              <w:rPr>
                <w:color w:val="581D74" w:themeColor="accent1"/>
                <w:spacing w:val="-4"/>
                <w:sz w:val="26"/>
                <w:szCs w:val="26"/>
              </w:rPr>
              <w:t xml:space="preserve">éléments </w:t>
            </w:r>
            <w:r w:rsidR="00C72515" w:rsidRPr="00453D34">
              <w:rPr>
                <w:color w:val="581D74" w:themeColor="accent1"/>
                <w:spacing w:val="-4"/>
                <w:sz w:val="26"/>
                <w:szCs w:val="26"/>
              </w:rPr>
              <w:t xml:space="preserve">exceptionnels et impact de la norme IFRIC 21) </w:t>
            </w:r>
            <w:r w:rsidR="00010138" w:rsidRPr="00453D34">
              <w:rPr>
                <w:color w:val="581D74" w:themeColor="accent1"/>
                <w:spacing w:val="-4"/>
                <w:sz w:val="26"/>
                <w:szCs w:val="26"/>
              </w:rPr>
              <w:t>de 1</w:t>
            </w:r>
            <w:r w:rsidR="006A7F51" w:rsidRPr="00453D34">
              <w:rPr>
                <w:color w:val="581D74" w:themeColor="accent1"/>
                <w:spacing w:val="-4"/>
                <w:sz w:val="26"/>
                <w:szCs w:val="26"/>
              </w:rPr>
              <w:t>,0</w:t>
            </w:r>
            <w:r w:rsidR="00010138" w:rsidRPr="00453D34">
              <w:rPr>
                <w:color w:val="581D74" w:themeColor="accent1"/>
                <w:spacing w:val="-4"/>
                <w:sz w:val="26"/>
                <w:szCs w:val="26"/>
              </w:rPr>
              <w:t xml:space="preserve"> Md€, en forte hausse (+</w:t>
            </w:r>
            <w:r w:rsidR="006A7F51" w:rsidRPr="00453D34">
              <w:rPr>
                <w:color w:val="581D74" w:themeColor="accent1"/>
                <w:spacing w:val="-4"/>
                <w:sz w:val="26"/>
                <w:szCs w:val="26"/>
              </w:rPr>
              <w:t> </w:t>
            </w:r>
            <w:r w:rsidR="00010138" w:rsidRPr="00453D34">
              <w:rPr>
                <w:color w:val="581D74" w:themeColor="accent1"/>
                <w:spacing w:val="-4"/>
                <w:sz w:val="26"/>
                <w:szCs w:val="26"/>
              </w:rPr>
              <w:t>16,1</w:t>
            </w:r>
            <w:r w:rsidR="006A7F51" w:rsidRPr="00453D34">
              <w:rPr>
                <w:color w:val="581D74" w:themeColor="accent1"/>
                <w:spacing w:val="-4"/>
                <w:sz w:val="26"/>
                <w:szCs w:val="26"/>
              </w:rPr>
              <w:t> </w:t>
            </w:r>
            <w:r w:rsidRPr="00453D34">
              <w:rPr>
                <w:color w:val="581D74" w:themeColor="accent1"/>
                <w:spacing w:val="-4"/>
                <w:sz w:val="26"/>
                <w:szCs w:val="26"/>
              </w:rPr>
              <w:t>%) par rapport au T1</w:t>
            </w:r>
            <w:r w:rsidR="009945FC" w:rsidRPr="00453D34">
              <w:rPr>
                <w:color w:val="581D74" w:themeColor="accent1"/>
                <w:spacing w:val="-4"/>
                <w:sz w:val="26"/>
                <w:szCs w:val="26"/>
              </w:rPr>
              <w:t>-</w:t>
            </w:r>
            <w:r w:rsidRPr="00453D34">
              <w:rPr>
                <w:color w:val="581D74" w:themeColor="accent1"/>
                <w:spacing w:val="-4"/>
                <w:sz w:val="26"/>
                <w:szCs w:val="26"/>
              </w:rPr>
              <w:t>2014</w:t>
            </w:r>
            <w:r w:rsidR="00010138" w:rsidRPr="00453D34">
              <w:rPr>
                <w:color w:val="581D74" w:themeColor="accent1"/>
                <w:spacing w:val="-4"/>
                <w:sz w:val="26"/>
                <w:szCs w:val="26"/>
              </w:rPr>
              <w:t xml:space="preserve"> </w:t>
            </w:r>
          </w:p>
          <w:p w:rsidR="00C17A07" w:rsidRPr="00046BAB" w:rsidRDefault="00C17A07" w:rsidP="00E748BA">
            <w:pPr>
              <w:pStyle w:val="2-TEXTECOURANTcommuniqu"/>
              <w:spacing w:before="200" w:line="240" w:lineRule="auto"/>
              <w:rPr>
                <w:b/>
                <w:color w:val="005865" w:themeColor="accent6" w:themeShade="80"/>
                <w:sz w:val="18"/>
                <w:szCs w:val="18"/>
              </w:rPr>
            </w:pPr>
            <w:r w:rsidRPr="00046BAB">
              <w:rPr>
                <w:b/>
                <w:color w:val="005865" w:themeColor="accent6" w:themeShade="80"/>
                <w:sz w:val="18"/>
                <w:szCs w:val="18"/>
              </w:rPr>
              <w:t xml:space="preserve">UNE ACTIVITÉ COMMERCIALE </w:t>
            </w:r>
            <w:r w:rsidR="00E2285D">
              <w:rPr>
                <w:b/>
                <w:color w:val="005865" w:themeColor="accent6" w:themeShade="80"/>
                <w:sz w:val="18"/>
                <w:szCs w:val="18"/>
              </w:rPr>
              <w:t>SOUTENUE DANS TOUS NOS M</w:t>
            </w:r>
            <w:r w:rsidR="00075135" w:rsidRPr="00046BAB">
              <w:rPr>
                <w:b/>
                <w:color w:val="005865" w:themeColor="accent6" w:themeShade="80"/>
                <w:sz w:val="18"/>
                <w:szCs w:val="18"/>
              </w:rPr>
              <w:t>É</w:t>
            </w:r>
            <w:r w:rsidR="00E2285D">
              <w:rPr>
                <w:b/>
                <w:color w:val="005865" w:themeColor="accent6" w:themeShade="80"/>
                <w:sz w:val="18"/>
                <w:szCs w:val="18"/>
              </w:rPr>
              <w:t>TIERS</w:t>
            </w:r>
            <w:r w:rsidR="00C72515">
              <w:rPr>
                <w:b/>
                <w:color w:val="005865" w:themeColor="accent6" w:themeShade="80"/>
                <w:sz w:val="18"/>
                <w:szCs w:val="18"/>
              </w:rPr>
              <w:t xml:space="preserve"> COEURS</w:t>
            </w:r>
            <w:r w:rsidR="00964E51">
              <w:rPr>
                <w:rStyle w:val="Appelnotedebasdep"/>
                <w:b/>
                <w:color w:val="005865" w:themeColor="accent6" w:themeShade="80"/>
                <w:sz w:val="18"/>
                <w:szCs w:val="18"/>
              </w:rPr>
              <w:footnoteReference w:id="2"/>
            </w:r>
            <w:r w:rsidRPr="00046BAB">
              <w:rPr>
                <w:b/>
                <w:color w:val="005865" w:themeColor="accent6" w:themeShade="80"/>
                <w:sz w:val="18"/>
                <w:szCs w:val="18"/>
              </w:rPr>
              <w:t xml:space="preserve"> </w:t>
            </w:r>
          </w:p>
          <w:p w:rsidR="00C17A07" w:rsidRPr="00A45336" w:rsidRDefault="00C17A07" w:rsidP="008E7554">
            <w:pPr>
              <w:pStyle w:val="2-TEXTECOURANTcommuniqu"/>
              <w:numPr>
                <w:ilvl w:val="1"/>
                <w:numId w:val="11"/>
              </w:numPr>
              <w:spacing w:before="80" w:line="240" w:lineRule="auto"/>
              <w:ind w:left="602" w:hanging="284"/>
              <w:rPr>
                <w:b/>
                <w:sz w:val="18"/>
                <w:szCs w:val="18"/>
              </w:rPr>
            </w:pPr>
            <w:r w:rsidRPr="00A45336">
              <w:rPr>
                <w:b/>
                <w:sz w:val="18"/>
                <w:szCs w:val="18"/>
              </w:rPr>
              <w:t>Réseaux Banque Populaire et Caisse d’Epargne</w:t>
            </w:r>
          </w:p>
          <w:p w:rsidR="00C17A07" w:rsidRPr="00E50376" w:rsidRDefault="00E2285D" w:rsidP="00C17A07">
            <w:pPr>
              <w:pStyle w:val="2-TEXTECOURANTcommuniqu"/>
              <w:numPr>
                <w:ilvl w:val="2"/>
                <w:numId w:val="11"/>
              </w:numPr>
              <w:spacing w:before="40" w:line="240" w:lineRule="auto"/>
              <w:ind w:left="1135" w:hanging="284"/>
              <w:rPr>
                <w:sz w:val="18"/>
                <w:szCs w:val="18"/>
              </w:rPr>
            </w:pPr>
            <w:r w:rsidRPr="00E50376">
              <w:rPr>
                <w:sz w:val="18"/>
                <w:szCs w:val="18"/>
              </w:rPr>
              <w:t xml:space="preserve">Croissance </w:t>
            </w:r>
            <w:r w:rsidRPr="00D16E2C">
              <w:rPr>
                <w:sz w:val="18"/>
                <w:szCs w:val="18"/>
              </w:rPr>
              <w:t>des encours d’épargne</w:t>
            </w:r>
            <w:r w:rsidR="00BB78F4" w:rsidRPr="00E50376">
              <w:rPr>
                <w:sz w:val="18"/>
                <w:szCs w:val="18"/>
              </w:rPr>
              <w:t xml:space="preserve"> </w:t>
            </w:r>
            <w:r w:rsidRPr="00E50376">
              <w:rPr>
                <w:sz w:val="18"/>
                <w:szCs w:val="18"/>
              </w:rPr>
              <w:t>dans les deux réseaux</w:t>
            </w:r>
            <w:r w:rsidR="00802170">
              <w:rPr>
                <w:sz w:val="18"/>
                <w:szCs w:val="18"/>
              </w:rPr>
              <w:t> :</w:t>
            </w:r>
            <w:r w:rsidRPr="00E50376">
              <w:rPr>
                <w:sz w:val="18"/>
                <w:szCs w:val="18"/>
              </w:rPr>
              <w:t xml:space="preserve"> </w:t>
            </w:r>
            <w:r w:rsidRPr="000C530B">
              <w:rPr>
                <w:b/>
                <w:sz w:val="18"/>
                <w:szCs w:val="18"/>
              </w:rPr>
              <w:t>+</w:t>
            </w:r>
            <w:r w:rsidR="000C530B">
              <w:rPr>
                <w:b/>
                <w:sz w:val="18"/>
                <w:szCs w:val="18"/>
              </w:rPr>
              <w:t> </w:t>
            </w:r>
            <w:r w:rsidRPr="000C530B">
              <w:rPr>
                <w:b/>
                <w:sz w:val="18"/>
                <w:szCs w:val="18"/>
              </w:rPr>
              <w:t>28 Md€</w:t>
            </w:r>
            <w:r w:rsidR="00BB78F4" w:rsidRPr="00E50376">
              <w:rPr>
                <w:sz w:val="18"/>
                <w:szCs w:val="18"/>
              </w:rPr>
              <w:t xml:space="preserve"> </w:t>
            </w:r>
            <w:r w:rsidRPr="00E50376">
              <w:rPr>
                <w:sz w:val="18"/>
                <w:szCs w:val="18"/>
              </w:rPr>
              <w:t>sur un an</w:t>
            </w:r>
          </w:p>
          <w:p w:rsidR="00C17A07" w:rsidRPr="00E50376" w:rsidRDefault="00E2285D" w:rsidP="00C17A07">
            <w:pPr>
              <w:pStyle w:val="2-TEXTECOURANTcommuniqu"/>
              <w:numPr>
                <w:ilvl w:val="2"/>
                <w:numId w:val="11"/>
              </w:numPr>
              <w:spacing w:before="40" w:line="240" w:lineRule="auto"/>
              <w:ind w:left="1135" w:hanging="284"/>
              <w:rPr>
                <w:sz w:val="18"/>
                <w:szCs w:val="18"/>
              </w:rPr>
            </w:pPr>
            <w:r w:rsidRPr="00E50376">
              <w:rPr>
                <w:sz w:val="18"/>
                <w:szCs w:val="18"/>
              </w:rPr>
              <w:t xml:space="preserve">Augmentation de </w:t>
            </w:r>
            <w:r w:rsidRPr="000C530B">
              <w:rPr>
                <w:b/>
                <w:sz w:val="18"/>
                <w:szCs w:val="18"/>
              </w:rPr>
              <w:t>3,0 %</w:t>
            </w:r>
            <w:r w:rsidRPr="00E50376">
              <w:rPr>
                <w:sz w:val="18"/>
                <w:szCs w:val="18"/>
              </w:rPr>
              <w:t xml:space="preserve"> des encours de crédit sur un an</w:t>
            </w:r>
            <w:r w:rsidR="00D24CF6" w:rsidRPr="00E50376">
              <w:rPr>
                <w:sz w:val="18"/>
                <w:szCs w:val="18"/>
              </w:rPr>
              <w:t>, avec une reprise du crédit aux entreprises</w:t>
            </w:r>
          </w:p>
          <w:p w:rsidR="00C17A07" w:rsidRPr="005A29AD" w:rsidRDefault="00C17A07" w:rsidP="008E7554">
            <w:pPr>
              <w:pStyle w:val="2-TEXTECOURANTcommuniqu"/>
              <w:numPr>
                <w:ilvl w:val="1"/>
                <w:numId w:val="11"/>
              </w:numPr>
              <w:spacing w:before="80" w:line="240" w:lineRule="auto"/>
              <w:ind w:left="602" w:hanging="284"/>
              <w:rPr>
                <w:sz w:val="18"/>
                <w:szCs w:val="18"/>
              </w:rPr>
            </w:pPr>
            <w:r w:rsidRPr="005A29AD">
              <w:rPr>
                <w:b/>
                <w:sz w:val="18"/>
                <w:szCs w:val="18"/>
              </w:rPr>
              <w:t>Assurance</w:t>
            </w:r>
          </w:p>
          <w:p w:rsidR="005A29AD" w:rsidRPr="005A29AD" w:rsidRDefault="009945FC" w:rsidP="00C17A07">
            <w:pPr>
              <w:pStyle w:val="2-TEXTECOURANTcommuniqu"/>
              <w:numPr>
                <w:ilvl w:val="2"/>
                <w:numId w:val="11"/>
              </w:numPr>
              <w:spacing w:before="40" w:line="240" w:lineRule="auto"/>
              <w:ind w:left="1135" w:hanging="284"/>
              <w:rPr>
                <w:sz w:val="18"/>
                <w:szCs w:val="18"/>
              </w:rPr>
            </w:pPr>
            <w:r>
              <w:rPr>
                <w:sz w:val="18"/>
                <w:szCs w:val="18"/>
              </w:rPr>
              <w:t>P</w:t>
            </w:r>
            <w:r w:rsidR="005A29AD" w:rsidRPr="005A29AD">
              <w:rPr>
                <w:sz w:val="18"/>
                <w:szCs w:val="18"/>
              </w:rPr>
              <w:t xml:space="preserve">ortefeuille d’assurance dommages, prévoyance et santé : </w:t>
            </w:r>
            <w:r w:rsidR="005A29AD" w:rsidRPr="000C530B">
              <w:rPr>
                <w:b/>
                <w:sz w:val="18"/>
                <w:szCs w:val="18"/>
              </w:rPr>
              <w:t>+ 9,3</w:t>
            </w:r>
            <w:r w:rsidR="00361318" w:rsidRPr="000C530B">
              <w:rPr>
                <w:b/>
                <w:sz w:val="18"/>
                <w:szCs w:val="18"/>
              </w:rPr>
              <w:t> %</w:t>
            </w:r>
            <w:r w:rsidR="00361318" w:rsidRPr="005A29AD">
              <w:rPr>
                <w:sz w:val="18"/>
                <w:szCs w:val="18"/>
              </w:rPr>
              <w:t xml:space="preserve"> </w:t>
            </w:r>
          </w:p>
          <w:p w:rsidR="00C17A07" w:rsidRPr="005A29AD" w:rsidRDefault="009945FC" w:rsidP="00C17A07">
            <w:pPr>
              <w:pStyle w:val="2-TEXTECOURANTcommuniqu"/>
              <w:numPr>
                <w:ilvl w:val="2"/>
                <w:numId w:val="11"/>
              </w:numPr>
              <w:spacing w:before="40" w:line="240" w:lineRule="auto"/>
              <w:ind w:left="1135" w:hanging="284"/>
              <w:rPr>
                <w:sz w:val="18"/>
                <w:szCs w:val="18"/>
              </w:rPr>
            </w:pPr>
            <w:r>
              <w:rPr>
                <w:sz w:val="18"/>
                <w:szCs w:val="18"/>
              </w:rPr>
              <w:t>E</w:t>
            </w:r>
            <w:r w:rsidR="005A29AD" w:rsidRPr="005A29AD">
              <w:rPr>
                <w:sz w:val="18"/>
                <w:szCs w:val="18"/>
              </w:rPr>
              <w:t>ncours d’</w:t>
            </w:r>
            <w:r w:rsidR="00B7426C">
              <w:rPr>
                <w:sz w:val="18"/>
                <w:szCs w:val="18"/>
              </w:rPr>
              <w:t>assurance</w:t>
            </w:r>
            <w:r>
              <w:rPr>
                <w:sz w:val="18"/>
                <w:szCs w:val="18"/>
              </w:rPr>
              <w:t xml:space="preserve"> </w:t>
            </w:r>
            <w:r w:rsidR="00B7426C">
              <w:rPr>
                <w:sz w:val="18"/>
                <w:szCs w:val="18"/>
              </w:rPr>
              <w:t>vie</w:t>
            </w:r>
            <w:r>
              <w:rPr>
                <w:sz w:val="18"/>
                <w:szCs w:val="18"/>
              </w:rPr>
              <w:t xml:space="preserve"> : </w:t>
            </w:r>
            <w:r w:rsidRPr="00A25990">
              <w:rPr>
                <w:b/>
                <w:sz w:val="18"/>
                <w:szCs w:val="18"/>
              </w:rPr>
              <w:t>+</w:t>
            </w:r>
            <w:r>
              <w:rPr>
                <w:sz w:val="18"/>
                <w:szCs w:val="18"/>
              </w:rPr>
              <w:t> </w:t>
            </w:r>
            <w:r w:rsidR="00B7426C" w:rsidRPr="000C530B">
              <w:rPr>
                <w:b/>
                <w:sz w:val="18"/>
                <w:szCs w:val="18"/>
              </w:rPr>
              <w:t>4,4 %</w:t>
            </w:r>
            <w:r w:rsidR="005A29AD" w:rsidRPr="005A29AD">
              <w:rPr>
                <w:sz w:val="18"/>
                <w:szCs w:val="18"/>
              </w:rPr>
              <w:t xml:space="preserve"> et collecte dynamique</w:t>
            </w:r>
          </w:p>
          <w:p w:rsidR="00C17A07" w:rsidRPr="00BB78F4" w:rsidRDefault="00C17A07" w:rsidP="008E7554">
            <w:pPr>
              <w:pStyle w:val="2-TEXTECOURANTcommuniqu"/>
              <w:numPr>
                <w:ilvl w:val="1"/>
                <w:numId w:val="11"/>
              </w:numPr>
              <w:spacing w:before="80" w:line="240" w:lineRule="auto"/>
              <w:ind w:left="602" w:hanging="284"/>
              <w:rPr>
                <w:b/>
                <w:sz w:val="18"/>
                <w:szCs w:val="18"/>
              </w:rPr>
            </w:pPr>
            <w:r w:rsidRPr="00BB78F4">
              <w:rPr>
                <w:b/>
                <w:sz w:val="18"/>
                <w:szCs w:val="18"/>
              </w:rPr>
              <w:t>Métiers cœurs de Natixis</w:t>
            </w:r>
          </w:p>
          <w:p w:rsidR="00C17A07" w:rsidRPr="00CE7AB9" w:rsidRDefault="00361318" w:rsidP="00C17A07">
            <w:pPr>
              <w:pStyle w:val="2-TEXTECOURANTcommuniqu"/>
              <w:numPr>
                <w:ilvl w:val="2"/>
                <w:numId w:val="11"/>
              </w:numPr>
              <w:spacing w:before="40" w:line="240" w:lineRule="auto"/>
              <w:ind w:left="1135" w:hanging="284"/>
              <w:rPr>
                <w:sz w:val="18"/>
                <w:szCs w:val="18"/>
              </w:rPr>
            </w:pPr>
            <w:r w:rsidRPr="00CE7AB9">
              <w:rPr>
                <w:sz w:val="18"/>
                <w:szCs w:val="18"/>
              </w:rPr>
              <w:t xml:space="preserve">BGC : </w:t>
            </w:r>
            <w:r w:rsidR="00CE7AB9" w:rsidRPr="00CE7AB9">
              <w:rPr>
                <w:sz w:val="18"/>
                <w:szCs w:val="18"/>
              </w:rPr>
              <w:t xml:space="preserve">développement des principales franchises ; production nouvelle de </w:t>
            </w:r>
            <w:r w:rsidR="00CE7AB9" w:rsidRPr="000C530B">
              <w:rPr>
                <w:b/>
                <w:sz w:val="18"/>
                <w:szCs w:val="18"/>
              </w:rPr>
              <w:t>5,7 Md€</w:t>
            </w:r>
            <w:r w:rsidR="00CE7AB9" w:rsidRPr="00CE7AB9">
              <w:rPr>
                <w:sz w:val="18"/>
                <w:szCs w:val="18"/>
              </w:rPr>
              <w:t xml:space="preserve"> dans les financements structurés et très bonne performance des activités de marché </w:t>
            </w:r>
          </w:p>
          <w:p w:rsidR="00C17A07" w:rsidRPr="00671907" w:rsidRDefault="00C17A07" w:rsidP="00C17A07">
            <w:pPr>
              <w:pStyle w:val="2-TEXTECOURANTcommuniqu"/>
              <w:numPr>
                <w:ilvl w:val="2"/>
                <w:numId w:val="11"/>
              </w:numPr>
              <w:spacing w:before="40" w:line="240" w:lineRule="auto"/>
              <w:ind w:left="1135" w:hanging="284"/>
              <w:rPr>
                <w:sz w:val="18"/>
                <w:szCs w:val="18"/>
              </w:rPr>
            </w:pPr>
            <w:r w:rsidRPr="00671907">
              <w:rPr>
                <w:sz w:val="18"/>
                <w:szCs w:val="18"/>
              </w:rPr>
              <w:t xml:space="preserve">Épargne : </w:t>
            </w:r>
            <w:r w:rsidR="00671907" w:rsidRPr="00671907">
              <w:rPr>
                <w:sz w:val="18"/>
                <w:szCs w:val="18"/>
              </w:rPr>
              <w:t xml:space="preserve">trimestre record en gestion d’actifs ; collecte nette de </w:t>
            </w:r>
            <w:r w:rsidR="00671907" w:rsidRPr="000C530B">
              <w:rPr>
                <w:b/>
                <w:sz w:val="18"/>
                <w:szCs w:val="18"/>
              </w:rPr>
              <w:t>19 Md€</w:t>
            </w:r>
            <w:r w:rsidR="00671907" w:rsidRPr="00671907">
              <w:rPr>
                <w:sz w:val="18"/>
                <w:szCs w:val="18"/>
              </w:rPr>
              <w:t xml:space="preserve"> au T1</w:t>
            </w:r>
            <w:r w:rsidR="009945FC">
              <w:rPr>
                <w:sz w:val="18"/>
                <w:szCs w:val="18"/>
              </w:rPr>
              <w:t>-</w:t>
            </w:r>
            <w:r w:rsidR="00671907" w:rsidRPr="00671907">
              <w:rPr>
                <w:sz w:val="18"/>
                <w:szCs w:val="18"/>
              </w:rPr>
              <w:t xml:space="preserve">2015 et actifs sous gestion de 820 Md€ </w:t>
            </w:r>
          </w:p>
          <w:p w:rsidR="00C17A07" w:rsidRPr="00B7426C" w:rsidRDefault="00C17A07" w:rsidP="00C17A07">
            <w:pPr>
              <w:pStyle w:val="2-TEXTECOURANTcommuniqu"/>
              <w:numPr>
                <w:ilvl w:val="2"/>
                <w:numId w:val="11"/>
              </w:numPr>
              <w:spacing w:before="40" w:line="240" w:lineRule="auto"/>
              <w:ind w:left="1135" w:hanging="284"/>
              <w:rPr>
                <w:sz w:val="18"/>
                <w:szCs w:val="18"/>
              </w:rPr>
            </w:pPr>
            <w:r w:rsidRPr="00B7426C">
              <w:rPr>
                <w:sz w:val="18"/>
                <w:szCs w:val="18"/>
              </w:rPr>
              <w:t xml:space="preserve">SFS : </w:t>
            </w:r>
            <w:r w:rsidR="00B7426C" w:rsidRPr="00B7426C">
              <w:rPr>
                <w:sz w:val="18"/>
                <w:szCs w:val="18"/>
              </w:rPr>
              <w:t xml:space="preserve">déploiement des offres dans les réseaux ; </w:t>
            </w:r>
            <w:r w:rsidR="00B96DDC" w:rsidRPr="00B7426C">
              <w:rPr>
                <w:sz w:val="18"/>
                <w:szCs w:val="18"/>
              </w:rPr>
              <w:t xml:space="preserve">encours de </w:t>
            </w:r>
            <w:r w:rsidR="00B277AF" w:rsidRPr="00B7426C">
              <w:rPr>
                <w:sz w:val="18"/>
                <w:szCs w:val="18"/>
              </w:rPr>
              <w:t xml:space="preserve">crédit à la consommation </w:t>
            </w:r>
            <w:r w:rsidR="00B7426C" w:rsidRPr="00B7426C">
              <w:rPr>
                <w:sz w:val="18"/>
                <w:szCs w:val="18"/>
              </w:rPr>
              <w:t>(+</w:t>
            </w:r>
            <w:r w:rsidR="009945FC">
              <w:rPr>
                <w:sz w:val="18"/>
                <w:szCs w:val="18"/>
              </w:rPr>
              <w:t> </w:t>
            </w:r>
            <w:r w:rsidR="00B7426C" w:rsidRPr="00B7426C">
              <w:rPr>
                <w:sz w:val="18"/>
                <w:szCs w:val="18"/>
              </w:rPr>
              <w:t>9 %), encours gérés en ingénierie sociale (+ 13 %) et transactions monétiques (+ 6 %)</w:t>
            </w:r>
            <w:r w:rsidR="00B277AF" w:rsidRPr="00B7426C">
              <w:rPr>
                <w:sz w:val="18"/>
                <w:szCs w:val="18"/>
              </w:rPr>
              <w:t xml:space="preserve"> </w:t>
            </w:r>
          </w:p>
          <w:p w:rsidR="00C17A07" w:rsidRPr="00716BC4" w:rsidRDefault="00B277AF" w:rsidP="008E7554">
            <w:pPr>
              <w:pStyle w:val="2-TEXTECOURANTcommuniqu"/>
              <w:spacing w:before="160" w:line="240" w:lineRule="auto"/>
              <w:rPr>
                <w:b/>
                <w:color w:val="005865" w:themeColor="accent6" w:themeShade="80"/>
                <w:sz w:val="18"/>
                <w:szCs w:val="18"/>
              </w:rPr>
            </w:pPr>
            <w:r w:rsidRPr="00716BC4">
              <w:rPr>
                <w:b/>
                <w:color w:val="005865" w:themeColor="accent6" w:themeShade="80"/>
                <w:sz w:val="18"/>
                <w:szCs w:val="18"/>
              </w:rPr>
              <w:t xml:space="preserve">UNE BASE DE RÉSULTATS </w:t>
            </w:r>
            <w:r w:rsidR="006F0382">
              <w:rPr>
                <w:b/>
                <w:color w:val="005865" w:themeColor="accent6" w:themeShade="80"/>
                <w:sz w:val="18"/>
                <w:szCs w:val="18"/>
              </w:rPr>
              <w:t xml:space="preserve">ROBUSTE </w:t>
            </w:r>
            <w:r w:rsidRPr="00716BC4">
              <w:rPr>
                <w:b/>
                <w:color w:val="005865" w:themeColor="accent6" w:themeShade="80"/>
                <w:sz w:val="18"/>
                <w:szCs w:val="18"/>
              </w:rPr>
              <w:t>AU T1 2015</w:t>
            </w:r>
          </w:p>
          <w:p w:rsidR="008F2EEB" w:rsidRPr="00D16E2C" w:rsidRDefault="008F2EEB" w:rsidP="00C17A07">
            <w:pPr>
              <w:pStyle w:val="2-TEXTECOURANTcommuniqu"/>
              <w:numPr>
                <w:ilvl w:val="2"/>
                <w:numId w:val="11"/>
              </w:numPr>
              <w:spacing w:before="40" w:line="240" w:lineRule="auto"/>
              <w:ind w:left="1135" w:hanging="284"/>
              <w:rPr>
                <w:spacing w:val="-6"/>
                <w:sz w:val="18"/>
                <w:szCs w:val="18"/>
              </w:rPr>
            </w:pPr>
            <w:r w:rsidRPr="00D16E2C">
              <w:rPr>
                <w:spacing w:val="-6"/>
                <w:sz w:val="18"/>
                <w:szCs w:val="18"/>
              </w:rPr>
              <w:t>Revenus</w:t>
            </w:r>
            <w:bookmarkStart w:id="2" w:name="_Ref418502663"/>
            <w:r w:rsidR="006A7F51" w:rsidRPr="00D16E2C">
              <w:rPr>
                <w:rStyle w:val="Appelnotedebasdep"/>
                <w:spacing w:val="-6"/>
                <w:sz w:val="18"/>
                <w:szCs w:val="18"/>
              </w:rPr>
              <w:footnoteReference w:id="3"/>
            </w:r>
            <w:bookmarkEnd w:id="2"/>
            <w:r w:rsidR="00E75D6C" w:rsidRPr="00D16E2C">
              <w:rPr>
                <w:spacing w:val="-6"/>
                <w:sz w:val="18"/>
                <w:szCs w:val="18"/>
              </w:rPr>
              <w:t xml:space="preserve"> </w:t>
            </w:r>
            <w:r w:rsidR="001A460E" w:rsidRPr="00D16E2C">
              <w:rPr>
                <w:spacing w:val="-6"/>
                <w:sz w:val="18"/>
                <w:szCs w:val="18"/>
              </w:rPr>
              <w:t xml:space="preserve">des métiers cœurs du groupe en hausse de 8,0 % </w:t>
            </w:r>
            <w:r w:rsidR="001A460E" w:rsidRPr="00D16E2C">
              <w:rPr>
                <w:b/>
                <w:spacing w:val="-6"/>
                <w:sz w:val="18"/>
                <w:szCs w:val="18"/>
              </w:rPr>
              <w:t>à 5,9</w:t>
            </w:r>
            <w:r w:rsidRPr="00D16E2C">
              <w:rPr>
                <w:b/>
                <w:spacing w:val="-6"/>
                <w:sz w:val="18"/>
                <w:szCs w:val="18"/>
              </w:rPr>
              <w:t> Md</w:t>
            </w:r>
            <w:r w:rsidR="001A460E" w:rsidRPr="00D16E2C">
              <w:rPr>
                <w:b/>
                <w:spacing w:val="-6"/>
                <w:sz w:val="18"/>
                <w:szCs w:val="18"/>
              </w:rPr>
              <w:t>€</w:t>
            </w:r>
            <w:r w:rsidR="001A460E" w:rsidRPr="00D16E2C">
              <w:rPr>
                <w:spacing w:val="-6"/>
                <w:sz w:val="18"/>
                <w:szCs w:val="18"/>
              </w:rPr>
              <w:t xml:space="preserve"> (+ 5,</w:t>
            </w:r>
            <w:r w:rsidR="00964E51" w:rsidRPr="00D16E2C">
              <w:rPr>
                <w:spacing w:val="-6"/>
                <w:sz w:val="18"/>
                <w:szCs w:val="18"/>
              </w:rPr>
              <w:t>5</w:t>
            </w:r>
            <w:r w:rsidR="00EB7680" w:rsidRPr="00D16E2C">
              <w:rPr>
                <w:spacing w:val="-6"/>
                <w:sz w:val="18"/>
                <w:szCs w:val="18"/>
              </w:rPr>
              <w:t> % à change constant)</w:t>
            </w:r>
          </w:p>
          <w:p w:rsidR="00C17A07" w:rsidRPr="00716BC4" w:rsidRDefault="005C0F26" w:rsidP="00C17A07">
            <w:pPr>
              <w:pStyle w:val="2-TEXTECOURANTcommuniqu"/>
              <w:numPr>
                <w:ilvl w:val="2"/>
                <w:numId w:val="11"/>
              </w:numPr>
              <w:spacing w:before="40" w:line="240" w:lineRule="auto"/>
              <w:ind w:left="1135" w:hanging="284"/>
              <w:rPr>
                <w:b/>
                <w:color w:val="FF0000"/>
                <w:sz w:val="18"/>
                <w:szCs w:val="18"/>
              </w:rPr>
            </w:pPr>
            <w:r w:rsidRPr="005C0F26">
              <w:rPr>
                <w:sz w:val="18"/>
                <w:szCs w:val="18"/>
              </w:rPr>
              <w:t xml:space="preserve">Coût du risque </w:t>
            </w:r>
            <w:r w:rsidR="001A460E">
              <w:rPr>
                <w:sz w:val="18"/>
                <w:szCs w:val="18"/>
              </w:rPr>
              <w:t xml:space="preserve">toujours modéré, à </w:t>
            </w:r>
            <w:r w:rsidRPr="005C0F26">
              <w:rPr>
                <w:sz w:val="18"/>
                <w:szCs w:val="18"/>
              </w:rPr>
              <w:t>32</w:t>
            </w:r>
            <w:r w:rsidR="00C17A07" w:rsidRPr="005C0F26">
              <w:rPr>
                <w:sz w:val="18"/>
                <w:szCs w:val="18"/>
              </w:rPr>
              <w:t xml:space="preserve"> points de base, </w:t>
            </w:r>
            <w:r w:rsidRPr="005C0F26">
              <w:rPr>
                <w:sz w:val="18"/>
                <w:szCs w:val="18"/>
              </w:rPr>
              <w:t>hors impact</w:t>
            </w:r>
            <w:r w:rsidR="008A2C87" w:rsidRPr="005C0F26">
              <w:rPr>
                <w:sz w:val="18"/>
                <w:szCs w:val="18"/>
              </w:rPr>
              <w:t xml:space="preserve"> d</w:t>
            </w:r>
            <w:r w:rsidR="001A460E">
              <w:rPr>
                <w:sz w:val="18"/>
                <w:szCs w:val="18"/>
              </w:rPr>
              <w:t xml:space="preserve">u provisionnement sur le dossier de la banque publique autrichienne </w:t>
            </w:r>
            <w:proofErr w:type="spellStart"/>
            <w:r w:rsidR="001A460E">
              <w:rPr>
                <w:sz w:val="18"/>
                <w:szCs w:val="18"/>
              </w:rPr>
              <w:t>H</w:t>
            </w:r>
            <w:r w:rsidR="00964E51">
              <w:rPr>
                <w:sz w:val="18"/>
                <w:szCs w:val="18"/>
              </w:rPr>
              <w:t>eta</w:t>
            </w:r>
            <w:proofErr w:type="spellEnd"/>
          </w:p>
          <w:p w:rsidR="00C17A07" w:rsidRPr="00964E51" w:rsidRDefault="00C17A07" w:rsidP="00C17A07">
            <w:pPr>
              <w:pStyle w:val="2-TEXTECOURANTcommuniqu"/>
              <w:numPr>
                <w:ilvl w:val="2"/>
                <w:numId w:val="11"/>
              </w:numPr>
              <w:spacing w:before="40" w:line="240" w:lineRule="auto"/>
              <w:ind w:left="1135" w:hanging="284"/>
              <w:rPr>
                <w:sz w:val="18"/>
                <w:szCs w:val="18"/>
              </w:rPr>
            </w:pPr>
            <w:r w:rsidRPr="00E75D6C">
              <w:rPr>
                <w:sz w:val="18"/>
                <w:szCs w:val="18"/>
              </w:rPr>
              <w:t>Rés</w:t>
            </w:r>
            <w:r w:rsidR="008A2C87" w:rsidRPr="00E75D6C">
              <w:rPr>
                <w:sz w:val="18"/>
                <w:szCs w:val="18"/>
              </w:rPr>
              <w:t xml:space="preserve">ultat avant </w:t>
            </w:r>
            <w:r w:rsidR="00964E51">
              <w:rPr>
                <w:sz w:val="18"/>
                <w:szCs w:val="18"/>
              </w:rPr>
              <w:t>impôt (hors éléments exceptionnels et IFRIC 21)</w:t>
            </w:r>
            <w:r w:rsidRPr="00E75D6C">
              <w:rPr>
                <w:sz w:val="18"/>
                <w:szCs w:val="18"/>
              </w:rPr>
              <w:t xml:space="preserve"> à </w:t>
            </w:r>
            <w:r w:rsidR="00E75D6C" w:rsidRPr="000C530B">
              <w:rPr>
                <w:b/>
                <w:sz w:val="18"/>
                <w:szCs w:val="18"/>
              </w:rPr>
              <w:t>1,</w:t>
            </w:r>
            <w:r w:rsidR="00964E51">
              <w:rPr>
                <w:b/>
                <w:sz w:val="18"/>
                <w:szCs w:val="18"/>
              </w:rPr>
              <w:t>8</w:t>
            </w:r>
            <w:r w:rsidRPr="000C530B">
              <w:rPr>
                <w:b/>
                <w:sz w:val="18"/>
                <w:szCs w:val="18"/>
              </w:rPr>
              <w:t xml:space="preserve"> Md€</w:t>
            </w:r>
            <w:r w:rsidR="00964E51">
              <w:rPr>
                <w:b/>
                <w:sz w:val="18"/>
                <w:szCs w:val="18"/>
              </w:rPr>
              <w:t xml:space="preserve"> </w:t>
            </w:r>
            <w:r w:rsidR="00964E51" w:rsidRPr="00A25990">
              <w:rPr>
                <w:sz w:val="18"/>
                <w:szCs w:val="18"/>
              </w:rPr>
              <w:t>(+ 21,7 %)</w:t>
            </w:r>
          </w:p>
          <w:p w:rsidR="006344DA" w:rsidRPr="000C530B" w:rsidRDefault="006344DA" w:rsidP="00C17A07">
            <w:pPr>
              <w:pStyle w:val="2-TEXTECOURANTcommuniqu"/>
              <w:numPr>
                <w:ilvl w:val="2"/>
                <w:numId w:val="11"/>
              </w:numPr>
              <w:spacing w:before="40" w:line="240" w:lineRule="auto"/>
              <w:ind w:left="1135" w:hanging="284"/>
              <w:rPr>
                <w:b/>
                <w:sz w:val="18"/>
                <w:szCs w:val="18"/>
              </w:rPr>
            </w:pPr>
            <w:r>
              <w:rPr>
                <w:sz w:val="18"/>
                <w:szCs w:val="18"/>
              </w:rPr>
              <w:t xml:space="preserve">Résultat net part du </w:t>
            </w:r>
            <w:r w:rsidR="00C72515">
              <w:rPr>
                <w:sz w:val="18"/>
                <w:szCs w:val="18"/>
              </w:rPr>
              <w:t>groupe</w:t>
            </w:r>
            <w:r w:rsidR="001A460E">
              <w:rPr>
                <w:sz w:val="18"/>
                <w:szCs w:val="18"/>
              </w:rPr>
              <w:t xml:space="preserve"> publié</w:t>
            </w:r>
            <w:r w:rsidR="00964E51">
              <w:rPr>
                <w:sz w:val="18"/>
                <w:szCs w:val="18"/>
              </w:rPr>
              <w:t xml:space="preserve"> de</w:t>
            </w:r>
            <w:r w:rsidR="001A460E">
              <w:rPr>
                <w:sz w:val="18"/>
                <w:szCs w:val="18"/>
              </w:rPr>
              <w:t xml:space="preserve"> </w:t>
            </w:r>
            <w:r w:rsidR="001A460E" w:rsidRPr="001A460E">
              <w:rPr>
                <w:b/>
                <w:sz w:val="18"/>
                <w:szCs w:val="18"/>
              </w:rPr>
              <w:t>626 M</w:t>
            </w:r>
            <w:r w:rsidR="00023FE3" w:rsidRPr="001A460E">
              <w:rPr>
                <w:b/>
                <w:sz w:val="18"/>
                <w:szCs w:val="18"/>
              </w:rPr>
              <w:t>€</w:t>
            </w:r>
          </w:p>
          <w:p w:rsidR="00C17A07" w:rsidRPr="00046BAB" w:rsidRDefault="00C17A07" w:rsidP="008E7554">
            <w:pPr>
              <w:pStyle w:val="2-TEXTECOURANTcommuniqu"/>
              <w:spacing w:before="160" w:line="240" w:lineRule="auto"/>
              <w:rPr>
                <w:b/>
                <w:color w:val="005865" w:themeColor="accent6" w:themeShade="80"/>
                <w:sz w:val="18"/>
                <w:szCs w:val="18"/>
              </w:rPr>
            </w:pPr>
            <w:r w:rsidRPr="00046BAB">
              <w:rPr>
                <w:b/>
                <w:color w:val="005865" w:themeColor="accent6" w:themeShade="80"/>
                <w:sz w:val="18"/>
                <w:szCs w:val="18"/>
              </w:rPr>
              <w:t>P</w:t>
            </w:r>
            <w:r w:rsidR="00C72515">
              <w:rPr>
                <w:b/>
                <w:color w:val="005865" w:themeColor="accent6" w:themeShade="80"/>
                <w:sz w:val="18"/>
                <w:szCs w:val="18"/>
              </w:rPr>
              <w:t>OURSUITE D</w:t>
            </w:r>
            <w:r w:rsidRPr="00046BAB">
              <w:rPr>
                <w:b/>
                <w:color w:val="005865" w:themeColor="accent6" w:themeShade="80"/>
                <w:sz w:val="18"/>
                <w:szCs w:val="18"/>
              </w:rPr>
              <w:t>U RENFORCEMENT D</w:t>
            </w:r>
            <w:r w:rsidR="00C72515">
              <w:rPr>
                <w:b/>
                <w:color w:val="005865" w:themeColor="accent6" w:themeShade="80"/>
                <w:sz w:val="18"/>
                <w:szCs w:val="18"/>
              </w:rPr>
              <w:t>U BILAN</w:t>
            </w:r>
          </w:p>
          <w:p w:rsidR="00C17A07" w:rsidRPr="00C45839" w:rsidRDefault="007C41A6" w:rsidP="00C17A07">
            <w:pPr>
              <w:pStyle w:val="2-TEXTECOURANTcommuniqu"/>
              <w:numPr>
                <w:ilvl w:val="2"/>
                <w:numId w:val="11"/>
              </w:numPr>
              <w:spacing w:before="40" w:line="240" w:lineRule="auto"/>
              <w:ind w:left="1135" w:hanging="284"/>
              <w:rPr>
                <w:sz w:val="18"/>
                <w:szCs w:val="18"/>
              </w:rPr>
            </w:pPr>
            <w:r w:rsidRPr="00DB0027">
              <w:rPr>
                <w:sz w:val="18"/>
                <w:szCs w:val="18"/>
              </w:rPr>
              <w:t>R</w:t>
            </w:r>
            <w:r w:rsidR="00C17A07" w:rsidRPr="00DB0027">
              <w:rPr>
                <w:sz w:val="18"/>
                <w:szCs w:val="18"/>
              </w:rPr>
              <w:t xml:space="preserve">atio de Common </w:t>
            </w:r>
            <w:proofErr w:type="spellStart"/>
            <w:r w:rsidR="00C17A07" w:rsidRPr="00DB0027">
              <w:rPr>
                <w:sz w:val="18"/>
                <w:szCs w:val="18"/>
              </w:rPr>
              <w:t>Equity</w:t>
            </w:r>
            <w:proofErr w:type="spellEnd"/>
            <w:r w:rsidR="00C17A07" w:rsidRPr="00DB0027">
              <w:rPr>
                <w:sz w:val="18"/>
                <w:szCs w:val="18"/>
              </w:rPr>
              <w:t xml:space="preserve"> </w:t>
            </w:r>
            <w:proofErr w:type="spellStart"/>
            <w:r w:rsidR="00C17A07" w:rsidRPr="00DB0027">
              <w:rPr>
                <w:sz w:val="18"/>
                <w:szCs w:val="18"/>
              </w:rPr>
              <w:t>Tier</w:t>
            </w:r>
            <w:proofErr w:type="spellEnd"/>
            <w:r w:rsidR="00C17A07" w:rsidRPr="00DB0027">
              <w:rPr>
                <w:sz w:val="18"/>
                <w:szCs w:val="18"/>
              </w:rPr>
              <w:t xml:space="preserve"> 1</w:t>
            </w:r>
            <w:bookmarkStart w:id="3" w:name="_Ref418006040"/>
            <w:r w:rsidR="00EE1DFA" w:rsidRPr="00DB0027">
              <w:rPr>
                <w:rStyle w:val="Appelnotedebasdep"/>
                <w:sz w:val="18"/>
                <w:szCs w:val="18"/>
              </w:rPr>
              <w:footnoteReference w:id="4"/>
            </w:r>
            <w:bookmarkEnd w:id="3"/>
            <w:r w:rsidR="003A4476" w:rsidRPr="00DB0027">
              <w:rPr>
                <w:sz w:val="18"/>
                <w:szCs w:val="18"/>
              </w:rPr>
              <w:t xml:space="preserve"> </w:t>
            </w:r>
            <w:r w:rsidR="00C17A07" w:rsidRPr="00DB0027">
              <w:rPr>
                <w:sz w:val="18"/>
                <w:szCs w:val="18"/>
              </w:rPr>
              <w:t xml:space="preserve">de </w:t>
            </w:r>
            <w:r w:rsidR="00DB0027" w:rsidRPr="00DB0027">
              <w:rPr>
                <w:b/>
                <w:sz w:val="18"/>
                <w:szCs w:val="18"/>
              </w:rPr>
              <w:t xml:space="preserve">12,2 </w:t>
            </w:r>
            <w:r w:rsidR="00C17A07" w:rsidRPr="00DB0027">
              <w:rPr>
                <w:b/>
                <w:sz w:val="18"/>
                <w:szCs w:val="18"/>
              </w:rPr>
              <w:t>%</w:t>
            </w:r>
            <w:r w:rsidR="00C17A07" w:rsidRPr="00DB0027">
              <w:rPr>
                <w:sz w:val="18"/>
                <w:szCs w:val="18"/>
              </w:rPr>
              <w:t xml:space="preserve"> </w:t>
            </w:r>
            <w:r w:rsidR="00802170">
              <w:rPr>
                <w:sz w:val="18"/>
                <w:szCs w:val="18"/>
              </w:rPr>
              <w:t xml:space="preserve">au 31/03/2015 </w:t>
            </w:r>
            <w:r w:rsidR="00C45839">
              <w:rPr>
                <w:sz w:val="18"/>
                <w:szCs w:val="18"/>
              </w:rPr>
              <w:t>(+</w:t>
            </w:r>
            <w:r w:rsidR="00964E51">
              <w:rPr>
                <w:sz w:val="18"/>
                <w:szCs w:val="18"/>
              </w:rPr>
              <w:t xml:space="preserve"> </w:t>
            </w:r>
            <w:r w:rsidR="00C45839">
              <w:rPr>
                <w:sz w:val="18"/>
                <w:szCs w:val="18"/>
              </w:rPr>
              <w:t xml:space="preserve">20 </w:t>
            </w:r>
            <w:proofErr w:type="spellStart"/>
            <w:r w:rsidR="00C45839">
              <w:rPr>
                <w:sz w:val="18"/>
                <w:szCs w:val="18"/>
              </w:rPr>
              <w:t>pb</w:t>
            </w:r>
            <w:proofErr w:type="spellEnd"/>
            <w:r w:rsidR="00C45839">
              <w:rPr>
                <w:sz w:val="18"/>
                <w:szCs w:val="18"/>
              </w:rPr>
              <w:t xml:space="preserve"> par rapport à fin 2014) </w:t>
            </w:r>
            <w:r w:rsidR="00C17A07" w:rsidRPr="00DB0027">
              <w:rPr>
                <w:sz w:val="18"/>
                <w:szCs w:val="18"/>
              </w:rPr>
              <w:t>et ratio de solvabilit</w:t>
            </w:r>
            <w:r w:rsidR="00C45839">
              <w:rPr>
                <w:sz w:val="18"/>
                <w:szCs w:val="18"/>
              </w:rPr>
              <w:t>é global</w:t>
            </w:r>
            <w:r w:rsidR="009945FC">
              <w:rPr>
                <w:sz w:val="18"/>
                <w:szCs w:val="18"/>
              </w:rPr>
              <w:fldChar w:fldCharType="begin"/>
            </w:r>
            <w:r w:rsidR="009945FC">
              <w:rPr>
                <w:sz w:val="18"/>
                <w:szCs w:val="18"/>
              </w:rPr>
              <w:instrText xml:space="preserve"> NOTEREF _Ref418006040 \f \h </w:instrText>
            </w:r>
            <w:r w:rsidR="009945FC">
              <w:rPr>
                <w:sz w:val="18"/>
                <w:szCs w:val="18"/>
              </w:rPr>
            </w:r>
            <w:r w:rsidR="009945FC">
              <w:rPr>
                <w:sz w:val="18"/>
                <w:szCs w:val="18"/>
              </w:rPr>
              <w:fldChar w:fldCharType="separate"/>
            </w:r>
            <w:r w:rsidR="000E7E26" w:rsidRPr="000E7E26">
              <w:rPr>
                <w:rStyle w:val="Appelnotedebasdep"/>
              </w:rPr>
              <w:t>4</w:t>
            </w:r>
            <w:r w:rsidR="009945FC">
              <w:rPr>
                <w:sz w:val="18"/>
                <w:szCs w:val="18"/>
              </w:rPr>
              <w:fldChar w:fldCharType="end"/>
            </w:r>
            <w:r w:rsidR="00C45839">
              <w:rPr>
                <w:sz w:val="18"/>
                <w:szCs w:val="18"/>
              </w:rPr>
              <w:t xml:space="preserve"> </w:t>
            </w:r>
            <w:r w:rsidR="00C17A07" w:rsidRPr="00DB0027">
              <w:rPr>
                <w:sz w:val="18"/>
                <w:szCs w:val="18"/>
              </w:rPr>
              <w:t xml:space="preserve">de </w:t>
            </w:r>
            <w:r w:rsidR="00DB0027" w:rsidRPr="00DB0027">
              <w:rPr>
                <w:b/>
                <w:sz w:val="18"/>
                <w:szCs w:val="18"/>
              </w:rPr>
              <w:t>15,7</w:t>
            </w:r>
            <w:r w:rsidR="00C17A07" w:rsidRPr="00DB0027">
              <w:rPr>
                <w:b/>
                <w:sz w:val="18"/>
                <w:szCs w:val="18"/>
              </w:rPr>
              <w:t xml:space="preserve"> %</w:t>
            </w:r>
            <w:r w:rsidR="00C45839">
              <w:rPr>
                <w:b/>
                <w:sz w:val="18"/>
                <w:szCs w:val="18"/>
              </w:rPr>
              <w:t xml:space="preserve"> </w:t>
            </w:r>
            <w:r w:rsidR="00C45839" w:rsidRPr="00C45839">
              <w:rPr>
                <w:sz w:val="18"/>
                <w:szCs w:val="18"/>
              </w:rPr>
              <w:t>(+</w:t>
            </w:r>
            <w:r w:rsidR="00964E51">
              <w:rPr>
                <w:sz w:val="18"/>
                <w:szCs w:val="18"/>
              </w:rPr>
              <w:t xml:space="preserve"> </w:t>
            </w:r>
            <w:r w:rsidR="00C45839" w:rsidRPr="00C45839">
              <w:rPr>
                <w:sz w:val="18"/>
                <w:szCs w:val="18"/>
              </w:rPr>
              <w:t xml:space="preserve">10 </w:t>
            </w:r>
            <w:proofErr w:type="spellStart"/>
            <w:r w:rsidR="00C45839" w:rsidRPr="00C45839">
              <w:rPr>
                <w:sz w:val="18"/>
                <w:szCs w:val="18"/>
              </w:rPr>
              <w:t>pb</w:t>
            </w:r>
            <w:proofErr w:type="spellEnd"/>
            <w:r w:rsidR="00C45839" w:rsidRPr="00C45839">
              <w:rPr>
                <w:sz w:val="18"/>
                <w:szCs w:val="18"/>
              </w:rPr>
              <w:t xml:space="preserve"> </w:t>
            </w:r>
            <w:r w:rsidR="00C45839">
              <w:rPr>
                <w:sz w:val="18"/>
                <w:szCs w:val="18"/>
              </w:rPr>
              <w:t>par rapport à fin 2014)</w:t>
            </w:r>
          </w:p>
          <w:p w:rsidR="00C17A07" w:rsidRPr="000C441D" w:rsidRDefault="00C17A07" w:rsidP="00C17A07">
            <w:pPr>
              <w:pStyle w:val="2-TEXTECOURANTcommuniqu"/>
              <w:numPr>
                <w:ilvl w:val="2"/>
                <w:numId w:val="11"/>
              </w:numPr>
              <w:spacing w:before="40" w:line="240" w:lineRule="auto"/>
              <w:ind w:left="1135" w:hanging="284"/>
              <w:rPr>
                <w:sz w:val="18"/>
                <w:szCs w:val="18"/>
              </w:rPr>
            </w:pPr>
            <w:r w:rsidRPr="000C441D">
              <w:rPr>
                <w:sz w:val="18"/>
                <w:szCs w:val="18"/>
              </w:rPr>
              <w:t>Ratio de levier</w:t>
            </w:r>
            <w:bookmarkStart w:id="4" w:name="_Ref414027889"/>
            <w:r w:rsidR="00DC4366" w:rsidRPr="000C441D">
              <w:rPr>
                <w:rStyle w:val="Appelnotedebasdep"/>
                <w:sz w:val="18"/>
                <w:szCs w:val="18"/>
              </w:rPr>
              <w:footnoteReference w:id="5"/>
            </w:r>
            <w:bookmarkEnd w:id="4"/>
            <w:r w:rsidRPr="000C441D">
              <w:rPr>
                <w:sz w:val="18"/>
                <w:szCs w:val="18"/>
              </w:rPr>
              <w:t xml:space="preserve"> de </w:t>
            </w:r>
            <w:r w:rsidR="000C441D" w:rsidRPr="000C441D">
              <w:rPr>
                <w:b/>
                <w:sz w:val="18"/>
                <w:szCs w:val="18"/>
              </w:rPr>
              <w:t>4,6</w:t>
            </w:r>
            <w:r w:rsidRPr="000C441D">
              <w:rPr>
                <w:b/>
                <w:sz w:val="18"/>
                <w:szCs w:val="18"/>
              </w:rPr>
              <w:t xml:space="preserve"> %</w:t>
            </w:r>
            <w:r w:rsidR="007C41A6" w:rsidRPr="000C441D">
              <w:rPr>
                <w:sz w:val="18"/>
                <w:szCs w:val="18"/>
              </w:rPr>
              <w:t xml:space="preserve"> au 31/03/2015</w:t>
            </w:r>
            <w:r w:rsidR="00964E51">
              <w:rPr>
                <w:sz w:val="18"/>
                <w:szCs w:val="18"/>
              </w:rPr>
              <w:t xml:space="preserve"> (+ 10 </w:t>
            </w:r>
            <w:proofErr w:type="spellStart"/>
            <w:r w:rsidR="00964E51">
              <w:rPr>
                <w:sz w:val="18"/>
                <w:szCs w:val="18"/>
              </w:rPr>
              <w:t>pb</w:t>
            </w:r>
            <w:proofErr w:type="spellEnd"/>
            <w:r w:rsidR="00964E51">
              <w:rPr>
                <w:sz w:val="18"/>
                <w:szCs w:val="18"/>
              </w:rPr>
              <w:t xml:space="preserve"> par rapport à fin 2014)</w:t>
            </w:r>
          </w:p>
          <w:p w:rsidR="00C17A07" w:rsidRPr="000C441D" w:rsidRDefault="00C17A07" w:rsidP="00C17A07">
            <w:pPr>
              <w:pStyle w:val="2-TEXTECOURANTcommuniqu"/>
              <w:numPr>
                <w:ilvl w:val="2"/>
                <w:numId w:val="11"/>
              </w:numPr>
              <w:spacing w:before="40" w:line="240" w:lineRule="auto"/>
              <w:ind w:left="1135" w:hanging="284"/>
              <w:rPr>
                <w:sz w:val="18"/>
                <w:szCs w:val="18"/>
              </w:rPr>
            </w:pPr>
            <w:r w:rsidRPr="000C441D">
              <w:rPr>
                <w:sz w:val="18"/>
                <w:szCs w:val="18"/>
              </w:rPr>
              <w:t xml:space="preserve">Le coefficient </w:t>
            </w:r>
            <w:r w:rsidR="00EE1DFA" w:rsidRPr="000C441D">
              <w:rPr>
                <w:sz w:val="18"/>
                <w:szCs w:val="18"/>
              </w:rPr>
              <w:t>d’</w:t>
            </w:r>
            <w:r w:rsidRPr="000C441D">
              <w:rPr>
                <w:sz w:val="18"/>
                <w:szCs w:val="18"/>
              </w:rPr>
              <w:t xml:space="preserve">emplois sur ressources clientèle ressort à </w:t>
            </w:r>
            <w:r w:rsidR="000C441D">
              <w:rPr>
                <w:b/>
                <w:sz w:val="18"/>
                <w:szCs w:val="18"/>
              </w:rPr>
              <w:t>119</w:t>
            </w:r>
            <w:r w:rsidRPr="000C441D">
              <w:rPr>
                <w:b/>
                <w:sz w:val="18"/>
                <w:szCs w:val="18"/>
              </w:rPr>
              <w:t xml:space="preserve"> %</w:t>
            </w:r>
            <w:bookmarkStart w:id="5" w:name="_Ref414027899"/>
            <w:r w:rsidR="008E7554" w:rsidRPr="000C441D">
              <w:rPr>
                <w:rStyle w:val="Appelnotedebasdep"/>
                <w:sz w:val="18"/>
                <w:szCs w:val="18"/>
              </w:rPr>
              <w:footnoteReference w:id="6"/>
            </w:r>
            <w:bookmarkEnd w:id="5"/>
            <w:r w:rsidR="00EE1DFA" w:rsidRPr="000C441D">
              <w:rPr>
                <w:sz w:val="18"/>
                <w:szCs w:val="18"/>
              </w:rPr>
              <w:t xml:space="preserve"> au 31/03</w:t>
            </w:r>
            <w:r w:rsidRPr="000C441D">
              <w:rPr>
                <w:sz w:val="18"/>
                <w:szCs w:val="18"/>
              </w:rPr>
              <w:t>/201</w:t>
            </w:r>
            <w:r w:rsidR="00EE1DFA" w:rsidRPr="000C441D">
              <w:rPr>
                <w:sz w:val="18"/>
                <w:szCs w:val="18"/>
              </w:rPr>
              <w:t>5</w:t>
            </w:r>
            <w:r w:rsidR="00C72515">
              <w:rPr>
                <w:sz w:val="18"/>
                <w:szCs w:val="18"/>
              </w:rPr>
              <w:t>, en diminution de </w:t>
            </w:r>
            <w:r w:rsidR="000C530B">
              <w:rPr>
                <w:sz w:val="18"/>
                <w:szCs w:val="18"/>
              </w:rPr>
              <w:t>2 points par rapport à fin 2014</w:t>
            </w:r>
          </w:p>
          <w:p w:rsidR="00D95939" w:rsidRPr="007F353A" w:rsidRDefault="00C17A07" w:rsidP="00A25990">
            <w:pPr>
              <w:pStyle w:val="2-TEXTECOURANTcommuniqu"/>
              <w:numPr>
                <w:ilvl w:val="2"/>
                <w:numId w:val="11"/>
              </w:numPr>
              <w:spacing w:before="40" w:after="120" w:line="240" w:lineRule="auto"/>
              <w:ind w:left="1135" w:hanging="284"/>
              <w:rPr>
                <w:sz w:val="18"/>
                <w:szCs w:val="18"/>
              </w:rPr>
            </w:pPr>
            <w:r w:rsidRPr="00E356C1">
              <w:rPr>
                <w:sz w:val="18"/>
                <w:szCs w:val="18"/>
              </w:rPr>
              <w:t xml:space="preserve">Les réserves de liquidité couvrent </w:t>
            </w:r>
            <w:r w:rsidR="00E356C1" w:rsidRPr="00E356C1">
              <w:rPr>
                <w:b/>
                <w:sz w:val="18"/>
                <w:szCs w:val="18"/>
              </w:rPr>
              <w:t>128</w:t>
            </w:r>
            <w:r w:rsidRPr="00E356C1">
              <w:rPr>
                <w:b/>
                <w:sz w:val="18"/>
                <w:szCs w:val="18"/>
              </w:rPr>
              <w:t xml:space="preserve"> %</w:t>
            </w:r>
            <w:r w:rsidRPr="00E356C1">
              <w:rPr>
                <w:sz w:val="18"/>
                <w:szCs w:val="18"/>
              </w:rPr>
              <w:t xml:space="preserve"> du refinancement CT et des tombées MLT et subordonnées ≤ 1 an</w:t>
            </w:r>
            <w:r w:rsidR="006A7F51">
              <w:rPr>
                <w:sz w:val="18"/>
                <w:szCs w:val="18"/>
              </w:rPr>
              <w:t>, en hausse de 8 points par rapport à fin 2014</w:t>
            </w:r>
          </w:p>
        </w:tc>
      </w:tr>
    </w:tbl>
    <w:p w:rsidR="00092064" w:rsidRDefault="00092064">
      <w:pPr>
        <w:jc w:val="left"/>
        <w:rPr>
          <w:spacing w:val="-4"/>
          <w:sz w:val="20"/>
          <w:szCs w:val="20"/>
        </w:rPr>
      </w:pPr>
      <w:r>
        <w:br w:type="page"/>
      </w:r>
    </w:p>
    <w:p w:rsidR="009945FC" w:rsidRDefault="00B107F6" w:rsidP="00696668">
      <w:pPr>
        <w:pStyle w:val="2-TEXTECOURANTcommuniqu"/>
      </w:pPr>
      <w:r w:rsidRPr="00B107F6">
        <w:lastRenderedPageBreak/>
        <w:t>Le 6 mai</w:t>
      </w:r>
      <w:r w:rsidR="00696668" w:rsidRPr="00B107F6">
        <w:t xml:space="preserve"> 2015, le conseil de surveillance du Groupe BPCE, présidé par Stève </w:t>
      </w:r>
      <w:proofErr w:type="spellStart"/>
      <w:r w:rsidR="00696668" w:rsidRPr="00B107F6">
        <w:t>Gentili</w:t>
      </w:r>
      <w:proofErr w:type="spellEnd"/>
      <w:r w:rsidR="00696668" w:rsidRPr="00B107F6">
        <w:t>, a examiné</w:t>
      </w:r>
      <w:r w:rsidRPr="00B107F6">
        <w:t xml:space="preserve"> les comptes du groupe pour le premier </w:t>
      </w:r>
      <w:r w:rsidR="00696668" w:rsidRPr="00B107F6">
        <w:t xml:space="preserve">trimestre </w:t>
      </w:r>
      <w:r w:rsidRPr="00B107F6">
        <w:t>2015</w:t>
      </w:r>
      <w:r w:rsidR="00696668" w:rsidRPr="00B107F6">
        <w:t>.</w:t>
      </w:r>
    </w:p>
    <w:p w:rsidR="009945FC" w:rsidRPr="00B107F6" w:rsidRDefault="009945FC" w:rsidP="00696668">
      <w:pPr>
        <w:pStyle w:val="2-TEXTECOURANTcommuniqu"/>
      </w:pPr>
    </w:p>
    <w:p w:rsidR="0069467E" w:rsidRPr="00A25990" w:rsidRDefault="0069467E">
      <w:pPr>
        <w:pStyle w:val="2-TEXTECOURANTcommuniqu"/>
        <w:rPr>
          <w:b/>
          <w:i/>
        </w:rPr>
      </w:pPr>
      <w:r w:rsidRPr="00B87F3A">
        <w:t xml:space="preserve">Pour François </w:t>
      </w:r>
      <w:proofErr w:type="spellStart"/>
      <w:r w:rsidRPr="00B87F3A">
        <w:t>Pérol</w:t>
      </w:r>
      <w:proofErr w:type="spellEnd"/>
      <w:r w:rsidRPr="00B87F3A">
        <w:t>, président du directoire du Groupe BPCE :</w:t>
      </w:r>
      <w:r>
        <w:rPr>
          <w:i/>
        </w:rPr>
        <w:t xml:space="preserve"> « Le premier trimestre 2015 confirme la solidité des fondamentaux du groupe : progression des revenus </w:t>
      </w:r>
      <w:r w:rsidR="00D71485">
        <w:rPr>
          <w:i/>
        </w:rPr>
        <w:t xml:space="preserve">des métiers cœurs </w:t>
      </w:r>
      <w:r>
        <w:rPr>
          <w:i/>
        </w:rPr>
        <w:t>de 8 %, portée par une activité co</w:t>
      </w:r>
      <w:r w:rsidR="00E07EE3">
        <w:rPr>
          <w:i/>
        </w:rPr>
        <w:t>mmerciale soutenue des Banques Populaires et des C</w:t>
      </w:r>
      <w:r>
        <w:rPr>
          <w:i/>
        </w:rPr>
        <w:t>aisse</w:t>
      </w:r>
      <w:r w:rsidR="00E07EE3">
        <w:rPr>
          <w:i/>
        </w:rPr>
        <w:t>s</w:t>
      </w:r>
      <w:r>
        <w:rPr>
          <w:i/>
        </w:rPr>
        <w:t xml:space="preserve"> </w:t>
      </w:r>
      <w:r w:rsidR="00E07EE3">
        <w:rPr>
          <w:i/>
        </w:rPr>
        <w:t>d’E</w:t>
      </w:r>
      <w:r>
        <w:rPr>
          <w:i/>
        </w:rPr>
        <w:t xml:space="preserve">pargne, la montée en charge de nos activités d’assurance, une forte progression </w:t>
      </w:r>
      <w:r w:rsidR="00B92365">
        <w:rPr>
          <w:i/>
        </w:rPr>
        <w:t>d</w:t>
      </w:r>
      <w:r>
        <w:rPr>
          <w:i/>
        </w:rPr>
        <w:t xml:space="preserve">e la </w:t>
      </w:r>
      <w:r w:rsidR="00D71485">
        <w:rPr>
          <w:i/>
        </w:rPr>
        <w:t>B</w:t>
      </w:r>
      <w:r>
        <w:rPr>
          <w:i/>
        </w:rPr>
        <w:t xml:space="preserve">anque de </w:t>
      </w:r>
      <w:r w:rsidR="00D71485">
        <w:rPr>
          <w:i/>
        </w:rPr>
        <w:t>G</w:t>
      </w:r>
      <w:r>
        <w:rPr>
          <w:i/>
        </w:rPr>
        <w:t xml:space="preserve">rande </w:t>
      </w:r>
      <w:r w:rsidR="00D71485">
        <w:rPr>
          <w:i/>
        </w:rPr>
        <w:t>C</w:t>
      </w:r>
      <w:r>
        <w:rPr>
          <w:i/>
        </w:rPr>
        <w:t xml:space="preserve">lientèle et un trimestre record de la gestion d’actifs ; performance opérationnelle en progression de 16,1 % avec un résultat net hors exceptionnels de 1 milliard d’euros ; nouveau renforcement du bilan, tant en solvabilité grâce à la mise en réserve de nos résultats qu’en liquidité ». </w:t>
      </w:r>
    </w:p>
    <w:p w:rsidR="00696668" w:rsidRPr="00415E6E" w:rsidRDefault="00696668" w:rsidP="00696668">
      <w:pPr>
        <w:pStyle w:val="3-Titre1"/>
      </w:pPr>
      <w:r w:rsidRPr="00415E6E">
        <w:rPr>
          <w:rStyle w:val="orange"/>
        </w:rPr>
        <w:t>1.</w:t>
      </w:r>
      <w:r w:rsidRPr="00415E6E">
        <w:tab/>
        <w:t>RÉSULTATS</w:t>
      </w:r>
      <w:r w:rsidR="00B74F1A">
        <w:fldChar w:fldCharType="begin"/>
      </w:r>
      <w:r w:rsidR="00B74F1A">
        <w:instrText xml:space="preserve"> NOTEREF _Ref414027813 \f \h </w:instrText>
      </w:r>
      <w:r w:rsidR="00B74F1A">
        <w:fldChar w:fldCharType="separate"/>
      </w:r>
      <w:r w:rsidR="000E7E26" w:rsidRPr="000E7E26">
        <w:rPr>
          <w:rStyle w:val="Appelnotedebasdep"/>
        </w:rPr>
        <w:t>1</w:t>
      </w:r>
      <w:r w:rsidR="00B74F1A">
        <w:fldChar w:fldCharType="end"/>
      </w:r>
      <w:r w:rsidRPr="00415E6E">
        <w:t xml:space="preserve"> CONSOLIDÉS</w:t>
      </w:r>
      <w:r w:rsidR="00B107F6">
        <w:t xml:space="preserve"> DU GROUPE BPCE DU PREMIER TRIMESTRE 2015</w:t>
      </w:r>
      <w:r w:rsidRPr="00415E6E">
        <w:t xml:space="preserve"> </w:t>
      </w:r>
    </w:p>
    <w:p w:rsidR="002E53DC" w:rsidRPr="001A460E" w:rsidRDefault="00696668" w:rsidP="00696668">
      <w:pPr>
        <w:pStyle w:val="2-TEXTECOURANTcommuniqu"/>
        <w:rPr>
          <w:spacing w:val="0"/>
        </w:rPr>
      </w:pPr>
      <w:r w:rsidRPr="001A460E">
        <w:rPr>
          <w:spacing w:val="0"/>
        </w:rPr>
        <w:t xml:space="preserve">Le Groupe BPCE </w:t>
      </w:r>
      <w:r w:rsidR="0032017C" w:rsidRPr="001A460E">
        <w:rPr>
          <w:spacing w:val="0"/>
        </w:rPr>
        <w:t>maintient sa performance</w:t>
      </w:r>
      <w:r w:rsidRPr="001A460E">
        <w:rPr>
          <w:spacing w:val="0"/>
        </w:rPr>
        <w:t xml:space="preserve"> </w:t>
      </w:r>
      <w:r w:rsidR="0032017C" w:rsidRPr="001A460E">
        <w:rPr>
          <w:spacing w:val="0"/>
        </w:rPr>
        <w:t>au premier trimestre 2015</w:t>
      </w:r>
      <w:r w:rsidRPr="001A460E">
        <w:rPr>
          <w:spacing w:val="0"/>
        </w:rPr>
        <w:t xml:space="preserve">. </w:t>
      </w:r>
      <w:r w:rsidR="0095120F" w:rsidRPr="001A460E">
        <w:rPr>
          <w:spacing w:val="0"/>
        </w:rPr>
        <w:t>Les revenus</w:t>
      </w:r>
      <w:r w:rsidR="00C72515" w:rsidRPr="001A460E">
        <w:rPr>
          <w:spacing w:val="0"/>
        </w:rPr>
        <w:fldChar w:fldCharType="begin"/>
      </w:r>
      <w:r w:rsidR="00C72515" w:rsidRPr="001A460E">
        <w:rPr>
          <w:spacing w:val="0"/>
        </w:rPr>
        <w:instrText xml:space="preserve"> NOTEREF _Ref418502663 \f \h </w:instrText>
      </w:r>
      <w:r w:rsidR="001A460E">
        <w:rPr>
          <w:spacing w:val="0"/>
        </w:rPr>
        <w:instrText xml:space="preserve"> \* MERGEFORMAT </w:instrText>
      </w:r>
      <w:r w:rsidR="00C72515" w:rsidRPr="001A460E">
        <w:rPr>
          <w:spacing w:val="0"/>
        </w:rPr>
      </w:r>
      <w:r w:rsidR="00C72515" w:rsidRPr="001A460E">
        <w:rPr>
          <w:spacing w:val="0"/>
        </w:rPr>
        <w:fldChar w:fldCharType="separate"/>
      </w:r>
      <w:r w:rsidR="000E7E26" w:rsidRPr="000E7E26">
        <w:rPr>
          <w:rStyle w:val="Appelnotedebasdep"/>
        </w:rPr>
        <w:t>3</w:t>
      </w:r>
      <w:r w:rsidR="00C72515" w:rsidRPr="001A460E">
        <w:rPr>
          <w:spacing w:val="0"/>
        </w:rPr>
        <w:fldChar w:fldCharType="end"/>
      </w:r>
      <w:r w:rsidR="0095120F" w:rsidRPr="001A460E">
        <w:rPr>
          <w:spacing w:val="0"/>
        </w:rPr>
        <w:t xml:space="preserve"> </w:t>
      </w:r>
      <w:r w:rsidR="003055AC" w:rsidRPr="001A460E">
        <w:rPr>
          <w:spacing w:val="0"/>
        </w:rPr>
        <w:t xml:space="preserve">ont augmenté de </w:t>
      </w:r>
      <w:r w:rsidR="00C07451" w:rsidRPr="001A460E">
        <w:rPr>
          <w:spacing w:val="0"/>
        </w:rPr>
        <w:t>9</w:t>
      </w:r>
      <w:r w:rsidR="003055AC" w:rsidRPr="001A460E">
        <w:rPr>
          <w:spacing w:val="0"/>
        </w:rPr>
        <w:t>,</w:t>
      </w:r>
      <w:r w:rsidR="00C07451" w:rsidRPr="001A460E">
        <w:rPr>
          <w:spacing w:val="0"/>
        </w:rPr>
        <w:t>8</w:t>
      </w:r>
      <w:r w:rsidR="00496384" w:rsidRPr="001A460E">
        <w:rPr>
          <w:spacing w:val="0"/>
        </w:rPr>
        <w:t> </w:t>
      </w:r>
      <w:r w:rsidR="00496384" w:rsidRPr="00FE2C4B">
        <w:rPr>
          <w:spacing w:val="0"/>
        </w:rPr>
        <w:t>%</w:t>
      </w:r>
      <w:r w:rsidR="003055AC" w:rsidRPr="00FE2C4B">
        <w:rPr>
          <w:spacing w:val="0"/>
        </w:rPr>
        <w:t xml:space="preserve"> </w:t>
      </w:r>
      <w:r w:rsidR="00496384" w:rsidRPr="001A460E">
        <w:rPr>
          <w:spacing w:val="0"/>
        </w:rPr>
        <w:t>et s’</w:t>
      </w:r>
      <w:r w:rsidR="003055AC" w:rsidRPr="001A460E">
        <w:rPr>
          <w:spacing w:val="0"/>
        </w:rPr>
        <w:t xml:space="preserve">élèvent à </w:t>
      </w:r>
      <w:r w:rsidR="00C07451" w:rsidRPr="001A460E">
        <w:rPr>
          <w:spacing w:val="0"/>
        </w:rPr>
        <w:t>6</w:t>
      </w:r>
      <w:r w:rsidR="007C7DB2">
        <w:rPr>
          <w:spacing w:val="0"/>
        </w:rPr>
        <w:t xml:space="preserve"> 199</w:t>
      </w:r>
      <w:r w:rsidR="00496384" w:rsidRPr="001A460E">
        <w:rPr>
          <w:spacing w:val="0"/>
        </w:rPr>
        <w:t xml:space="preserve"> milli</w:t>
      </w:r>
      <w:r w:rsidR="007C7DB2">
        <w:rPr>
          <w:spacing w:val="0"/>
        </w:rPr>
        <w:t>on</w:t>
      </w:r>
      <w:r w:rsidR="00496384" w:rsidRPr="001A460E">
        <w:rPr>
          <w:spacing w:val="0"/>
        </w:rPr>
        <w:t>s d’euros.</w:t>
      </w:r>
      <w:r w:rsidR="00D57A30" w:rsidRPr="001A460E">
        <w:rPr>
          <w:spacing w:val="0"/>
        </w:rPr>
        <w:t xml:space="preserve"> </w:t>
      </w:r>
      <w:r w:rsidR="002E53DC" w:rsidRPr="001A460E">
        <w:rPr>
          <w:spacing w:val="0"/>
        </w:rPr>
        <w:t>Les revenus</w:t>
      </w:r>
      <w:r w:rsidR="00C72515" w:rsidRPr="001A460E">
        <w:rPr>
          <w:spacing w:val="0"/>
        </w:rPr>
        <w:fldChar w:fldCharType="begin"/>
      </w:r>
      <w:r w:rsidR="00C72515" w:rsidRPr="001A460E">
        <w:rPr>
          <w:spacing w:val="0"/>
        </w:rPr>
        <w:instrText xml:space="preserve"> NOTEREF _Ref418502663 \f \h </w:instrText>
      </w:r>
      <w:r w:rsidR="001A460E">
        <w:rPr>
          <w:spacing w:val="0"/>
        </w:rPr>
        <w:instrText xml:space="preserve"> \* MERGEFORMAT </w:instrText>
      </w:r>
      <w:r w:rsidR="00C72515" w:rsidRPr="001A460E">
        <w:rPr>
          <w:spacing w:val="0"/>
        </w:rPr>
      </w:r>
      <w:r w:rsidR="00C72515" w:rsidRPr="001A460E">
        <w:rPr>
          <w:spacing w:val="0"/>
        </w:rPr>
        <w:fldChar w:fldCharType="separate"/>
      </w:r>
      <w:r w:rsidR="000E7E26" w:rsidRPr="000E7E26">
        <w:rPr>
          <w:rStyle w:val="Appelnotedebasdep"/>
        </w:rPr>
        <w:t>3</w:t>
      </w:r>
      <w:r w:rsidR="00C72515" w:rsidRPr="001A460E">
        <w:rPr>
          <w:spacing w:val="0"/>
        </w:rPr>
        <w:fldChar w:fldCharType="end"/>
      </w:r>
      <w:r w:rsidR="002E53DC" w:rsidRPr="001A460E">
        <w:rPr>
          <w:spacing w:val="0"/>
        </w:rPr>
        <w:t xml:space="preserve"> des métiers cœurs ont progressé de 8,0 % (5,</w:t>
      </w:r>
      <w:r w:rsidR="00460A89">
        <w:rPr>
          <w:spacing w:val="0"/>
        </w:rPr>
        <w:t>5</w:t>
      </w:r>
      <w:r w:rsidR="002E53DC" w:rsidRPr="001A460E">
        <w:rPr>
          <w:spacing w:val="0"/>
        </w:rPr>
        <w:t> % à change constant), s’établissant à 5</w:t>
      </w:r>
      <w:r w:rsidR="007C7DB2">
        <w:rPr>
          <w:spacing w:val="0"/>
        </w:rPr>
        <w:t xml:space="preserve"> </w:t>
      </w:r>
      <w:r w:rsidR="002E53DC" w:rsidRPr="001A460E">
        <w:rPr>
          <w:spacing w:val="0"/>
        </w:rPr>
        <w:t>9</w:t>
      </w:r>
      <w:r w:rsidR="007C7DB2">
        <w:rPr>
          <w:spacing w:val="0"/>
        </w:rPr>
        <w:t>04</w:t>
      </w:r>
      <w:r w:rsidR="002E53DC" w:rsidRPr="001A460E">
        <w:rPr>
          <w:spacing w:val="0"/>
        </w:rPr>
        <w:t> milli</w:t>
      </w:r>
      <w:r w:rsidR="007C7DB2">
        <w:rPr>
          <w:spacing w:val="0"/>
        </w:rPr>
        <w:t>ons</w:t>
      </w:r>
      <w:r w:rsidR="002E53DC" w:rsidRPr="001A460E">
        <w:rPr>
          <w:spacing w:val="0"/>
        </w:rPr>
        <w:t xml:space="preserve"> d’euros.</w:t>
      </w:r>
    </w:p>
    <w:p w:rsidR="002E53DC" w:rsidRPr="001A460E" w:rsidRDefault="002E53DC" w:rsidP="00696668">
      <w:pPr>
        <w:pStyle w:val="2-TEXTECOURANTcommuniqu"/>
        <w:rPr>
          <w:spacing w:val="0"/>
        </w:rPr>
      </w:pPr>
    </w:p>
    <w:p w:rsidR="00696668" w:rsidRPr="001A460E" w:rsidRDefault="00696668" w:rsidP="00696668">
      <w:pPr>
        <w:pStyle w:val="2-TEXTECOURANTcommuniqu"/>
        <w:rPr>
          <w:spacing w:val="0"/>
        </w:rPr>
      </w:pPr>
      <w:r w:rsidRPr="001A460E">
        <w:rPr>
          <w:spacing w:val="0"/>
        </w:rPr>
        <w:t xml:space="preserve">Le Groupe BPCE améliore fortement sa solvabilité, avec un ratio </w:t>
      </w:r>
      <w:r w:rsidR="003924AC" w:rsidRPr="001A460E">
        <w:rPr>
          <w:spacing w:val="0"/>
        </w:rPr>
        <w:t xml:space="preserve">de Common </w:t>
      </w:r>
      <w:proofErr w:type="spellStart"/>
      <w:r w:rsidR="003924AC" w:rsidRPr="001A460E">
        <w:rPr>
          <w:spacing w:val="0"/>
        </w:rPr>
        <w:t>Equity</w:t>
      </w:r>
      <w:proofErr w:type="spellEnd"/>
      <w:r w:rsidR="003924AC" w:rsidRPr="001A460E">
        <w:rPr>
          <w:spacing w:val="0"/>
        </w:rPr>
        <w:t xml:space="preserve"> </w:t>
      </w:r>
      <w:proofErr w:type="spellStart"/>
      <w:r w:rsidR="003924AC" w:rsidRPr="001A460E">
        <w:rPr>
          <w:spacing w:val="0"/>
        </w:rPr>
        <w:t>Tier</w:t>
      </w:r>
      <w:proofErr w:type="spellEnd"/>
      <w:r w:rsidR="003924AC" w:rsidRPr="001A460E">
        <w:rPr>
          <w:spacing w:val="0"/>
        </w:rPr>
        <w:t xml:space="preserve"> </w:t>
      </w:r>
      <w:r w:rsidR="00BD2047" w:rsidRPr="001A460E">
        <w:rPr>
          <w:spacing w:val="0"/>
        </w:rPr>
        <w:t xml:space="preserve">1 </w:t>
      </w:r>
      <w:r w:rsidR="00D85EA7">
        <w:rPr>
          <w:spacing w:val="0"/>
        </w:rPr>
        <w:t xml:space="preserve">(CET1) </w:t>
      </w:r>
      <w:r w:rsidR="00AB5FF0" w:rsidRPr="001A460E">
        <w:rPr>
          <w:spacing w:val="0"/>
        </w:rPr>
        <w:t>de 12,2</w:t>
      </w:r>
      <w:r w:rsidR="003924AC" w:rsidRPr="001A460E">
        <w:rPr>
          <w:spacing w:val="0"/>
        </w:rPr>
        <w:t> </w:t>
      </w:r>
      <w:r w:rsidR="00C45839">
        <w:rPr>
          <w:spacing w:val="0"/>
        </w:rPr>
        <w:t>%</w:t>
      </w:r>
      <w:r w:rsidR="00C45839">
        <w:rPr>
          <w:spacing w:val="0"/>
        </w:rPr>
        <w:fldChar w:fldCharType="begin"/>
      </w:r>
      <w:r w:rsidR="00C45839">
        <w:rPr>
          <w:spacing w:val="0"/>
        </w:rPr>
        <w:instrText xml:space="preserve"> NOTEREF _Ref418006040 \f \h </w:instrText>
      </w:r>
      <w:r w:rsidR="00C45839">
        <w:rPr>
          <w:spacing w:val="0"/>
        </w:rPr>
      </w:r>
      <w:r w:rsidR="00C45839">
        <w:rPr>
          <w:spacing w:val="0"/>
        </w:rPr>
        <w:fldChar w:fldCharType="separate"/>
      </w:r>
      <w:r w:rsidR="000E7E26" w:rsidRPr="000E7E26">
        <w:rPr>
          <w:rStyle w:val="Appelnotedebasdep"/>
        </w:rPr>
        <w:t>4</w:t>
      </w:r>
      <w:r w:rsidR="00C45839">
        <w:rPr>
          <w:spacing w:val="0"/>
        </w:rPr>
        <w:fldChar w:fldCharType="end"/>
      </w:r>
      <w:r w:rsidRPr="001A460E">
        <w:rPr>
          <w:spacing w:val="0"/>
        </w:rPr>
        <w:t xml:space="preserve">, en augmentation de </w:t>
      </w:r>
      <w:r w:rsidR="00AB5FF0" w:rsidRPr="001A460E">
        <w:rPr>
          <w:spacing w:val="0"/>
        </w:rPr>
        <w:t>20</w:t>
      </w:r>
      <w:r w:rsidRPr="001A460E">
        <w:rPr>
          <w:spacing w:val="0"/>
        </w:rPr>
        <w:t xml:space="preserve"> points de base </w:t>
      </w:r>
      <w:r w:rsidR="005533E3" w:rsidRPr="001A460E">
        <w:rPr>
          <w:spacing w:val="0"/>
        </w:rPr>
        <w:t>par rapport au 31 décembre 2014</w:t>
      </w:r>
      <w:r w:rsidRPr="001A460E">
        <w:rPr>
          <w:spacing w:val="0"/>
        </w:rPr>
        <w:t>, et un ratio</w:t>
      </w:r>
      <w:r w:rsidR="00355BC8" w:rsidRPr="001A460E">
        <w:rPr>
          <w:spacing w:val="0"/>
        </w:rPr>
        <w:t xml:space="preserve"> de solvabilité global </w:t>
      </w:r>
      <w:r w:rsidR="005533E3" w:rsidRPr="001A460E">
        <w:rPr>
          <w:spacing w:val="0"/>
        </w:rPr>
        <w:t>de 15,7</w:t>
      </w:r>
      <w:r w:rsidRPr="001A460E">
        <w:rPr>
          <w:spacing w:val="0"/>
        </w:rPr>
        <w:t xml:space="preserve"> %</w:t>
      </w:r>
      <w:r w:rsidR="00C45839">
        <w:rPr>
          <w:spacing w:val="0"/>
        </w:rPr>
        <w:fldChar w:fldCharType="begin"/>
      </w:r>
      <w:r w:rsidR="00C45839">
        <w:rPr>
          <w:spacing w:val="0"/>
        </w:rPr>
        <w:instrText xml:space="preserve"> NOTEREF _Ref418006040 \f \h </w:instrText>
      </w:r>
      <w:r w:rsidR="00C45839">
        <w:rPr>
          <w:spacing w:val="0"/>
        </w:rPr>
      </w:r>
      <w:r w:rsidR="00C45839">
        <w:rPr>
          <w:spacing w:val="0"/>
        </w:rPr>
        <w:fldChar w:fldCharType="separate"/>
      </w:r>
      <w:r w:rsidR="000E7E26" w:rsidRPr="000E7E26">
        <w:rPr>
          <w:rStyle w:val="Appelnotedebasdep"/>
        </w:rPr>
        <w:t>4</w:t>
      </w:r>
      <w:r w:rsidR="00C45839">
        <w:rPr>
          <w:spacing w:val="0"/>
        </w:rPr>
        <w:fldChar w:fldCharType="end"/>
      </w:r>
      <w:r w:rsidRPr="001A460E">
        <w:rPr>
          <w:spacing w:val="0"/>
        </w:rPr>
        <w:t xml:space="preserve">, en hausse de </w:t>
      </w:r>
      <w:r w:rsidR="005533E3" w:rsidRPr="001A460E">
        <w:rPr>
          <w:spacing w:val="0"/>
        </w:rPr>
        <w:t>10 points de base par rapport au 31 décembre 2014</w:t>
      </w:r>
      <w:r w:rsidRPr="001A460E">
        <w:rPr>
          <w:spacing w:val="0"/>
        </w:rPr>
        <w:t xml:space="preserve">. Au 31 </w:t>
      </w:r>
      <w:r w:rsidR="005533E3" w:rsidRPr="001A460E">
        <w:rPr>
          <w:spacing w:val="0"/>
        </w:rPr>
        <w:t>mars 2015</w:t>
      </w:r>
      <w:r w:rsidRPr="001A460E">
        <w:rPr>
          <w:spacing w:val="0"/>
        </w:rPr>
        <w:t>, le ratio de levier</w:t>
      </w:r>
      <w:r w:rsidR="00C45839">
        <w:rPr>
          <w:spacing w:val="0"/>
        </w:rPr>
        <w:fldChar w:fldCharType="begin"/>
      </w:r>
      <w:r w:rsidR="00C45839">
        <w:rPr>
          <w:spacing w:val="0"/>
        </w:rPr>
        <w:instrText xml:space="preserve"> NOTEREF _Ref414027889 \f \h </w:instrText>
      </w:r>
      <w:r w:rsidR="00C45839">
        <w:rPr>
          <w:spacing w:val="0"/>
        </w:rPr>
      </w:r>
      <w:r w:rsidR="00C45839">
        <w:rPr>
          <w:spacing w:val="0"/>
        </w:rPr>
        <w:fldChar w:fldCharType="separate"/>
      </w:r>
      <w:r w:rsidR="000E7E26" w:rsidRPr="000E7E26">
        <w:rPr>
          <w:rStyle w:val="Appelnotedebasdep"/>
        </w:rPr>
        <w:t>5</w:t>
      </w:r>
      <w:r w:rsidR="00C45839">
        <w:rPr>
          <w:spacing w:val="0"/>
        </w:rPr>
        <w:fldChar w:fldCharType="end"/>
      </w:r>
      <w:r w:rsidRPr="001A460E">
        <w:rPr>
          <w:spacing w:val="0"/>
        </w:rPr>
        <w:t xml:space="preserve"> du groupe s’établit à 4,</w:t>
      </w:r>
      <w:r w:rsidR="005533E3" w:rsidRPr="001A460E">
        <w:rPr>
          <w:spacing w:val="0"/>
        </w:rPr>
        <w:t>6</w:t>
      </w:r>
      <w:r w:rsidRPr="001A460E">
        <w:rPr>
          <w:spacing w:val="0"/>
        </w:rPr>
        <w:t xml:space="preserve"> %</w:t>
      </w:r>
      <w:r w:rsidR="00FE2C4B">
        <w:rPr>
          <w:spacing w:val="0"/>
        </w:rPr>
        <w:t>, en hausse de 10 points de base par rapport au 31 décembre 2014</w:t>
      </w:r>
      <w:r w:rsidRPr="001A460E">
        <w:rPr>
          <w:spacing w:val="0"/>
        </w:rPr>
        <w:t>.</w:t>
      </w:r>
    </w:p>
    <w:p w:rsidR="00696668" w:rsidRPr="001A460E" w:rsidRDefault="00696668" w:rsidP="00696668">
      <w:pPr>
        <w:pStyle w:val="2-TEXTECOURANTcommuniqu"/>
        <w:rPr>
          <w:color w:val="FF0000"/>
          <w:spacing w:val="0"/>
        </w:rPr>
      </w:pPr>
    </w:p>
    <w:p w:rsidR="00D95939" w:rsidRDefault="00696668" w:rsidP="00DA68D8">
      <w:r w:rsidRPr="00075135">
        <w:t xml:space="preserve">La liquidité est significativement renforcée, avec un coefficient </w:t>
      </w:r>
      <w:r w:rsidR="00B74F1A" w:rsidRPr="00075135">
        <w:t>d’</w:t>
      </w:r>
      <w:r w:rsidRPr="00075135">
        <w:t xml:space="preserve">emplois sur ressources clientèle à </w:t>
      </w:r>
      <w:r w:rsidR="00391739" w:rsidRPr="00075135">
        <w:t xml:space="preserve">119 </w:t>
      </w:r>
      <w:r w:rsidRPr="00075135">
        <w:t>%</w:t>
      </w:r>
      <w:r w:rsidR="00C45839" w:rsidRPr="00075135">
        <w:rPr>
          <w:spacing w:val="-4"/>
          <w:sz w:val="20"/>
          <w:szCs w:val="20"/>
        </w:rPr>
        <w:fldChar w:fldCharType="begin"/>
      </w:r>
      <w:r w:rsidR="00C45839" w:rsidRPr="00075135">
        <w:instrText xml:space="preserve"> NOTEREF _Ref414027899 \f \h </w:instrText>
      </w:r>
      <w:r w:rsidR="00075135">
        <w:instrText xml:space="preserve"> \* MERGEFORMAT </w:instrText>
      </w:r>
      <w:r w:rsidR="00C45839" w:rsidRPr="00075135">
        <w:rPr>
          <w:spacing w:val="-4"/>
          <w:sz w:val="20"/>
          <w:szCs w:val="20"/>
        </w:rPr>
      </w:r>
      <w:r w:rsidR="00C45839" w:rsidRPr="00075135">
        <w:rPr>
          <w:spacing w:val="-4"/>
          <w:sz w:val="20"/>
          <w:szCs w:val="20"/>
        </w:rPr>
        <w:fldChar w:fldCharType="separate"/>
      </w:r>
      <w:r w:rsidR="000E7E26" w:rsidRPr="000E7E26">
        <w:rPr>
          <w:rStyle w:val="Appelnotedebasdep"/>
        </w:rPr>
        <w:t>6</w:t>
      </w:r>
      <w:r w:rsidR="00C45839" w:rsidRPr="00075135">
        <w:rPr>
          <w:spacing w:val="-4"/>
          <w:sz w:val="20"/>
          <w:szCs w:val="20"/>
        </w:rPr>
        <w:fldChar w:fldCharType="end"/>
      </w:r>
      <w:r w:rsidRPr="00075135">
        <w:t xml:space="preserve"> au 31 </w:t>
      </w:r>
      <w:r w:rsidR="00EC5500" w:rsidRPr="00075135">
        <w:t>mars 2015</w:t>
      </w:r>
      <w:r w:rsidRPr="00075135">
        <w:t>.</w:t>
      </w:r>
      <w:r w:rsidRPr="00075135">
        <w:rPr>
          <w:color w:val="FF0000"/>
        </w:rPr>
        <w:t xml:space="preserve"> </w:t>
      </w:r>
      <w:r w:rsidRPr="00075135">
        <w:t>Les réserves de l</w:t>
      </w:r>
      <w:r w:rsidR="00491E5A" w:rsidRPr="00075135">
        <w:t xml:space="preserve">iquidité couvrent largement </w:t>
      </w:r>
      <w:r w:rsidRPr="00075135">
        <w:t>le refinancement à court terme ainsi que les tombées moyen-long terme et subordonnées inférieures ou égales à un an</w:t>
      </w:r>
      <w:r w:rsidR="00DB5267" w:rsidRPr="00075135">
        <w:t xml:space="preserve"> (128 % soit une augmentation de 8 points par rapport à fin 2014)</w:t>
      </w:r>
      <w:r w:rsidRPr="00075135">
        <w:t>.</w:t>
      </w:r>
    </w:p>
    <w:p w:rsidR="00075135" w:rsidRDefault="00075135">
      <w:pPr>
        <w:jc w:val="left"/>
        <w:rPr>
          <w:rFonts w:eastAsia="Times New Roman"/>
          <w:b/>
          <w:color w:val="581D74"/>
          <w:spacing w:val="-4"/>
          <w:sz w:val="20"/>
          <w:szCs w:val="24"/>
        </w:rPr>
      </w:pPr>
    </w:p>
    <w:p w:rsidR="00075135" w:rsidRDefault="00075135">
      <w:pPr>
        <w:jc w:val="left"/>
        <w:rPr>
          <w:rFonts w:eastAsia="Times New Roman"/>
          <w:b/>
          <w:color w:val="581D74"/>
          <w:spacing w:val="-4"/>
          <w:sz w:val="20"/>
          <w:szCs w:val="24"/>
        </w:rPr>
      </w:pPr>
    </w:p>
    <w:p w:rsidR="00696668" w:rsidRPr="00415E6E" w:rsidRDefault="00B107F6" w:rsidP="00696668">
      <w:pPr>
        <w:pStyle w:val="Boldviolet"/>
      </w:pPr>
      <w:r>
        <w:t>Résultats consolidés</w:t>
      </w:r>
      <w:r w:rsidR="00D65433">
        <w:fldChar w:fldCharType="begin"/>
      </w:r>
      <w:r w:rsidR="00D65433">
        <w:instrText xml:space="preserve"> NOTEREF _Ref414027813 \f \h </w:instrText>
      </w:r>
      <w:r w:rsidR="00D65433">
        <w:fldChar w:fldCharType="separate"/>
      </w:r>
      <w:r w:rsidR="000E7E26" w:rsidRPr="000E7E26">
        <w:rPr>
          <w:rStyle w:val="Appelnotedebasdep"/>
        </w:rPr>
        <w:t>1</w:t>
      </w:r>
      <w:r w:rsidR="00D65433">
        <w:fldChar w:fldCharType="end"/>
      </w:r>
      <w:r>
        <w:t xml:space="preserve"> du premier trimestre 2015</w:t>
      </w:r>
      <w:r w:rsidR="00696668" w:rsidRPr="00415E6E">
        <w:t xml:space="preserve"> : </w:t>
      </w:r>
      <w:r w:rsidR="00C45839">
        <w:t>forte progression du résultat net part du groupe hors éléments exceptionnels et hors impact de l</w:t>
      </w:r>
      <w:r w:rsidR="002472D9">
        <w:t xml:space="preserve">a norme </w:t>
      </w:r>
      <w:r w:rsidR="00C45839">
        <w:t>IFRIC 21</w:t>
      </w:r>
    </w:p>
    <w:p w:rsidR="00696668" w:rsidRPr="00415E6E" w:rsidRDefault="00696668" w:rsidP="00696668">
      <w:pPr>
        <w:pStyle w:val="2-TEXTECOURANTcommuniqu"/>
      </w:pPr>
    </w:p>
    <w:p w:rsidR="00696668" w:rsidRPr="002472D9" w:rsidRDefault="00696668" w:rsidP="00696668">
      <w:pPr>
        <w:pStyle w:val="2-TEXTECOURANTcommuniqu"/>
        <w:rPr>
          <w:color w:val="FF0000"/>
          <w:spacing w:val="0"/>
        </w:rPr>
      </w:pPr>
      <w:r w:rsidRPr="002472D9">
        <w:rPr>
          <w:spacing w:val="0"/>
        </w:rPr>
        <w:t xml:space="preserve">Le </w:t>
      </w:r>
      <w:r w:rsidRPr="002472D9">
        <w:rPr>
          <w:rStyle w:val="lev"/>
          <w:spacing w:val="0"/>
        </w:rPr>
        <w:t>produit net bancaire</w:t>
      </w:r>
      <w:bookmarkStart w:id="6" w:name="_Ref418176048"/>
      <w:r w:rsidR="007C13F6" w:rsidRPr="00DA68D8">
        <w:rPr>
          <w:rStyle w:val="Appelnotedebasdep"/>
          <w:bCs/>
          <w:spacing w:val="0"/>
        </w:rPr>
        <w:footnoteReference w:id="7"/>
      </w:r>
      <w:bookmarkEnd w:id="6"/>
      <w:r w:rsidRPr="000B739A">
        <w:rPr>
          <w:spacing w:val="0"/>
        </w:rPr>
        <w:t xml:space="preserve"> </w:t>
      </w:r>
      <w:r w:rsidRPr="002472D9">
        <w:rPr>
          <w:spacing w:val="0"/>
        </w:rPr>
        <w:t xml:space="preserve">du Groupe BPCE atteint </w:t>
      </w:r>
      <w:r w:rsidR="006C3F71" w:rsidRPr="002472D9">
        <w:rPr>
          <w:spacing w:val="0"/>
        </w:rPr>
        <w:t>6 199</w:t>
      </w:r>
      <w:r w:rsidRPr="002472D9">
        <w:rPr>
          <w:spacing w:val="0"/>
        </w:rPr>
        <w:t xml:space="preserve"> millions d’euros, </w:t>
      </w:r>
      <w:r w:rsidR="00516E42" w:rsidRPr="002472D9">
        <w:rPr>
          <w:spacing w:val="0"/>
        </w:rPr>
        <w:t>en hausse de 9,8</w:t>
      </w:r>
      <w:r w:rsidRPr="002472D9">
        <w:rPr>
          <w:spacing w:val="0"/>
        </w:rPr>
        <w:t xml:space="preserve"> % par rapport </w:t>
      </w:r>
      <w:r w:rsidR="00516E42" w:rsidRPr="002472D9">
        <w:rPr>
          <w:spacing w:val="0"/>
        </w:rPr>
        <w:t>au premier trimestre 2014</w:t>
      </w:r>
      <w:r w:rsidRPr="002472D9">
        <w:rPr>
          <w:spacing w:val="0"/>
        </w:rPr>
        <w:t>. Les métiers cœurs participent au produ</w:t>
      </w:r>
      <w:r w:rsidR="003A4476" w:rsidRPr="002472D9">
        <w:rPr>
          <w:spacing w:val="0"/>
        </w:rPr>
        <w:t xml:space="preserve">it net bancaire à hauteur de </w:t>
      </w:r>
      <w:r w:rsidR="00817A07" w:rsidRPr="002472D9">
        <w:rPr>
          <w:spacing w:val="0"/>
        </w:rPr>
        <w:t xml:space="preserve">5 904 </w:t>
      </w:r>
      <w:r w:rsidRPr="002472D9">
        <w:rPr>
          <w:spacing w:val="0"/>
        </w:rPr>
        <w:t xml:space="preserve">millions d’euros, en hausse de </w:t>
      </w:r>
      <w:r w:rsidR="00817A07" w:rsidRPr="002472D9">
        <w:rPr>
          <w:spacing w:val="0"/>
        </w:rPr>
        <w:t>8,0</w:t>
      </w:r>
      <w:r w:rsidRPr="002472D9">
        <w:rPr>
          <w:spacing w:val="0"/>
        </w:rPr>
        <w:t xml:space="preserve"> % </w:t>
      </w:r>
      <w:r w:rsidR="00E65B03" w:rsidRPr="002472D9">
        <w:rPr>
          <w:spacing w:val="0"/>
        </w:rPr>
        <w:t>par rapport au premier trimestre 2014</w:t>
      </w:r>
      <w:r w:rsidRPr="002472D9">
        <w:rPr>
          <w:spacing w:val="0"/>
        </w:rPr>
        <w:t xml:space="preserve">. </w:t>
      </w:r>
    </w:p>
    <w:p w:rsidR="00696668" w:rsidRPr="002472D9" w:rsidRDefault="00696668" w:rsidP="00696668">
      <w:pPr>
        <w:pStyle w:val="2-TEXTECOURANTcommuniqu"/>
        <w:rPr>
          <w:color w:val="FF0000"/>
          <w:spacing w:val="0"/>
        </w:rPr>
      </w:pPr>
    </w:p>
    <w:p w:rsidR="00696668" w:rsidRPr="002472D9" w:rsidRDefault="00696668" w:rsidP="00696668">
      <w:pPr>
        <w:pStyle w:val="2-TEXTECOURANTcommuniqu"/>
        <w:rPr>
          <w:spacing w:val="0"/>
        </w:rPr>
      </w:pPr>
      <w:r w:rsidRPr="002472D9">
        <w:rPr>
          <w:spacing w:val="0"/>
        </w:rPr>
        <w:t xml:space="preserve">Les </w:t>
      </w:r>
      <w:r w:rsidRPr="002472D9">
        <w:rPr>
          <w:rStyle w:val="lev"/>
          <w:spacing w:val="0"/>
        </w:rPr>
        <w:t>frais de gestion</w:t>
      </w:r>
      <w:r w:rsidRPr="002472D9">
        <w:rPr>
          <w:spacing w:val="0"/>
        </w:rPr>
        <w:t xml:space="preserve"> du groupe s’élèvent à </w:t>
      </w:r>
      <w:r w:rsidR="00A044FE" w:rsidRPr="002472D9">
        <w:rPr>
          <w:spacing w:val="0"/>
        </w:rPr>
        <w:t>4 158</w:t>
      </w:r>
      <w:r w:rsidRPr="002472D9">
        <w:rPr>
          <w:spacing w:val="0"/>
        </w:rPr>
        <w:t xml:space="preserve"> </w:t>
      </w:r>
      <w:r w:rsidR="00A044FE" w:rsidRPr="002472D9">
        <w:rPr>
          <w:spacing w:val="0"/>
        </w:rPr>
        <w:t>millions d’euros, en hausse de 3,3</w:t>
      </w:r>
      <w:r w:rsidRPr="002472D9">
        <w:rPr>
          <w:spacing w:val="0"/>
        </w:rPr>
        <w:t xml:space="preserve"> % sur</w:t>
      </w:r>
      <w:r w:rsidR="005547E2">
        <w:rPr>
          <w:spacing w:val="0"/>
        </w:rPr>
        <w:t xml:space="preserve"> </w:t>
      </w:r>
      <w:r w:rsidRPr="002472D9">
        <w:rPr>
          <w:spacing w:val="0"/>
        </w:rPr>
        <w:t>un</w:t>
      </w:r>
      <w:r w:rsidR="005547E2">
        <w:rPr>
          <w:spacing w:val="0"/>
        </w:rPr>
        <w:t> </w:t>
      </w:r>
      <w:r w:rsidRPr="002472D9">
        <w:rPr>
          <w:spacing w:val="0"/>
        </w:rPr>
        <w:t>an. Ceux des métiers cœurs</w:t>
      </w:r>
      <w:r w:rsidR="00A044FE" w:rsidRPr="002472D9">
        <w:rPr>
          <w:spacing w:val="0"/>
        </w:rPr>
        <w:t>, à 3</w:t>
      </w:r>
      <w:r w:rsidRPr="002472D9">
        <w:rPr>
          <w:spacing w:val="0"/>
        </w:rPr>
        <w:t xml:space="preserve"> </w:t>
      </w:r>
      <w:r w:rsidR="00A044FE" w:rsidRPr="002472D9">
        <w:rPr>
          <w:spacing w:val="0"/>
        </w:rPr>
        <w:t>896</w:t>
      </w:r>
      <w:r w:rsidRPr="002472D9">
        <w:rPr>
          <w:spacing w:val="0"/>
        </w:rPr>
        <w:t xml:space="preserve"> millions d’euros, </w:t>
      </w:r>
      <w:r w:rsidR="00A044FE" w:rsidRPr="002472D9">
        <w:rPr>
          <w:spacing w:val="0"/>
        </w:rPr>
        <w:t>augmentent</w:t>
      </w:r>
      <w:r w:rsidRPr="002472D9">
        <w:rPr>
          <w:spacing w:val="0"/>
        </w:rPr>
        <w:t xml:space="preserve"> </w:t>
      </w:r>
      <w:r w:rsidR="002472D9" w:rsidRPr="002472D9">
        <w:rPr>
          <w:spacing w:val="0"/>
        </w:rPr>
        <w:t xml:space="preserve">également </w:t>
      </w:r>
      <w:r w:rsidRPr="002472D9">
        <w:rPr>
          <w:spacing w:val="0"/>
        </w:rPr>
        <w:t xml:space="preserve">de </w:t>
      </w:r>
      <w:r w:rsidR="00A044FE" w:rsidRPr="002472D9">
        <w:rPr>
          <w:spacing w:val="0"/>
        </w:rPr>
        <w:t>3,3</w:t>
      </w:r>
      <w:r w:rsidRPr="002472D9">
        <w:rPr>
          <w:spacing w:val="0"/>
        </w:rPr>
        <w:t xml:space="preserve"> %.</w:t>
      </w:r>
    </w:p>
    <w:p w:rsidR="00696668" w:rsidRPr="002472D9" w:rsidRDefault="00696668" w:rsidP="00696668">
      <w:pPr>
        <w:pStyle w:val="2-TEXTECOURANTcommuniqu"/>
        <w:rPr>
          <w:color w:val="FF0000"/>
          <w:spacing w:val="0"/>
        </w:rPr>
      </w:pPr>
    </w:p>
    <w:p w:rsidR="00696668" w:rsidRPr="002472D9" w:rsidRDefault="00696668" w:rsidP="00696668">
      <w:pPr>
        <w:pStyle w:val="2-TEXTECOURANTcommuniqu"/>
        <w:rPr>
          <w:color w:val="FF0000"/>
          <w:spacing w:val="0"/>
        </w:rPr>
      </w:pPr>
      <w:r w:rsidRPr="002472D9">
        <w:rPr>
          <w:spacing w:val="0"/>
        </w:rPr>
        <w:t xml:space="preserve">Le </w:t>
      </w:r>
      <w:r w:rsidRPr="002472D9">
        <w:rPr>
          <w:rStyle w:val="lev"/>
          <w:spacing w:val="0"/>
        </w:rPr>
        <w:t>résultat brut d’exploitation</w:t>
      </w:r>
      <w:r w:rsidR="002472D9" w:rsidRPr="002472D9">
        <w:rPr>
          <w:rStyle w:val="lev"/>
          <w:spacing w:val="0"/>
        </w:rPr>
        <w:fldChar w:fldCharType="begin"/>
      </w:r>
      <w:r w:rsidR="002472D9" w:rsidRPr="002472D9">
        <w:rPr>
          <w:rStyle w:val="lev"/>
          <w:spacing w:val="0"/>
        </w:rPr>
        <w:instrText xml:space="preserve"> NOTEREF _Ref418176048 \f \h </w:instrText>
      </w:r>
      <w:r w:rsidR="002472D9">
        <w:rPr>
          <w:rStyle w:val="lev"/>
          <w:spacing w:val="0"/>
        </w:rPr>
        <w:instrText xml:space="preserve"> \* MERGEFORMAT </w:instrText>
      </w:r>
      <w:r w:rsidR="002472D9" w:rsidRPr="002472D9">
        <w:rPr>
          <w:rStyle w:val="lev"/>
          <w:spacing w:val="0"/>
        </w:rPr>
      </w:r>
      <w:r w:rsidR="002472D9" w:rsidRPr="002472D9">
        <w:rPr>
          <w:rStyle w:val="lev"/>
          <w:spacing w:val="0"/>
        </w:rPr>
        <w:fldChar w:fldCharType="separate"/>
      </w:r>
      <w:r w:rsidR="000E7E26" w:rsidRPr="000E7E26">
        <w:rPr>
          <w:rStyle w:val="Appelnotedebasdep"/>
        </w:rPr>
        <w:t>7</w:t>
      </w:r>
      <w:r w:rsidR="002472D9" w:rsidRPr="002472D9">
        <w:rPr>
          <w:rStyle w:val="lev"/>
          <w:spacing w:val="0"/>
        </w:rPr>
        <w:fldChar w:fldCharType="end"/>
      </w:r>
      <w:r w:rsidRPr="002472D9">
        <w:rPr>
          <w:spacing w:val="0"/>
        </w:rPr>
        <w:t xml:space="preserve"> s’élève à </w:t>
      </w:r>
      <w:r w:rsidR="00097BAF" w:rsidRPr="002472D9">
        <w:rPr>
          <w:spacing w:val="0"/>
        </w:rPr>
        <w:t>2</w:t>
      </w:r>
      <w:r w:rsidRPr="002472D9">
        <w:rPr>
          <w:spacing w:val="0"/>
        </w:rPr>
        <w:t xml:space="preserve"> </w:t>
      </w:r>
      <w:r w:rsidR="00097BAF" w:rsidRPr="002472D9">
        <w:rPr>
          <w:spacing w:val="0"/>
        </w:rPr>
        <w:t>041</w:t>
      </w:r>
      <w:r w:rsidRPr="002472D9">
        <w:rPr>
          <w:spacing w:val="0"/>
        </w:rPr>
        <w:t xml:space="preserve"> millions d’euros, en hausse de </w:t>
      </w:r>
      <w:r w:rsidR="00097BAF" w:rsidRPr="002472D9">
        <w:rPr>
          <w:spacing w:val="0"/>
        </w:rPr>
        <w:t>25,9</w:t>
      </w:r>
      <w:r w:rsidRPr="002472D9">
        <w:rPr>
          <w:spacing w:val="0"/>
        </w:rPr>
        <w:t xml:space="preserve"> % par rapport </w:t>
      </w:r>
      <w:r w:rsidR="00097BAF" w:rsidRPr="002472D9">
        <w:rPr>
          <w:spacing w:val="0"/>
        </w:rPr>
        <w:t>au premier trimestre 2014</w:t>
      </w:r>
      <w:r w:rsidRPr="002472D9">
        <w:rPr>
          <w:spacing w:val="0"/>
        </w:rPr>
        <w:t xml:space="preserve">. La contribution des métiers cœurs atteint </w:t>
      </w:r>
      <w:r w:rsidR="007F2F39" w:rsidRPr="002472D9">
        <w:rPr>
          <w:spacing w:val="0"/>
        </w:rPr>
        <w:t>2</w:t>
      </w:r>
      <w:r w:rsidRPr="002472D9">
        <w:rPr>
          <w:spacing w:val="0"/>
        </w:rPr>
        <w:t xml:space="preserve"> </w:t>
      </w:r>
      <w:r w:rsidR="007F2F39" w:rsidRPr="002472D9">
        <w:rPr>
          <w:spacing w:val="0"/>
        </w:rPr>
        <w:t>008</w:t>
      </w:r>
      <w:r w:rsidRPr="002472D9">
        <w:rPr>
          <w:spacing w:val="0"/>
        </w:rPr>
        <w:t xml:space="preserve"> </w:t>
      </w:r>
      <w:r w:rsidR="007F2F39" w:rsidRPr="002472D9">
        <w:rPr>
          <w:spacing w:val="0"/>
        </w:rPr>
        <w:t>millions d’euros, en hausse de 18,5</w:t>
      </w:r>
      <w:r w:rsidRPr="002472D9">
        <w:rPr>
          <w:spacing w:val="0"/>
        </w:rPr>
        <w:t> % sur un an.</w:t>
      </w:r>
    </w:p>
    <w:p w:rsidR="00B233D8" w:rsidRPr="002472D9" w:rsidRDefault="00B233D8" w:rsidP="00696668">
      <w:pPr>
        <w:pStyle w:val="2-TEXTECOURANTcommuniqu"/>
        <w:rPr>
          <w:color w:val="FF0000"/>
          <w:spacing w:val="0"/>
        </w:rPr>
      </w:pPr>
    </w:p>
    <w:p w:rsidR="00696668" w:rsidRPr="002472D9" w:rsidRDefault="00696668" w:rsidP="00696668">
      <w:pPr>
        <w:pStyle w:val="2-TEXTECOURANTcommuniqu"/>
        <w:rPr>
          <w:color w:val="FF0000"/>
          <w:spacing w:val="0"/>
        </w:rPr>
      </w:pPr>
      <w:r w:rsidRPr="002472D9">
        <w:rPr>
          <w:spacing w:val="0"/>
        </w:rPr>
        <w:t xml:space="preserve">Le </w:t>
      </w:r>
      <w:r w:rsidRPr="002472D9">
        <w:rPr>
          <w:rStyle w:val="lev"/>
          <w:spacing w:val="0"/>
        </w:rPr>
        <w:t>résultat avant impôt</w:t>
      </w:r>
      <w:r w:rsidR="002472D9" w:rsidRPr="002472D9">
        <w:rPr>
          <w:rStyle w:val="lev"/>
          <w:spacing w:val="0"/>
        </w:rPr>
        <w:fldChar w:fldCharType="begin"/>
      </w:r>
      <w:r w:rsidR="002472D9" w:rsidRPr="002472D9">
        <w:rPr>
          <w:rStyle w:val="lev"/>
          <w:spacing w:val="0"/>
        </w:rPr>
        <w:instrText xml:space="preserve"> NOTEREF _Ref418176048 \f \h </w:instrText>
      </w:r>
      <w:r w:rsidR="002472D9">
        <w:rPr>
          <w:rStyle w:val="lev"/>
          <w:spacing w:val="0"/>
        </w:rPr>
        <w:instrText xml:space="preserve"> \* MERGEFORMAT </w:instrText>
      </w:r>
      <w:r w:rsidR="002472D9" w:rsidRPr="002472D9">
        <w:rPr>
          <w:rStyle w:val="lev"/>
          <w:spacing w:val="0"/>
        </w:rPr>
      </w:r>
      <w:r w:rsidR="002472D9" w:rsidRPr="002472D9">
        <w:rPr>
          <w:rStyle w:val="lev"/>
          <w:spacing w:val="0"/>
        </w:rPr>
        <w:fldChar w:fldCharType="separate"/>
      </w:r>
      <w:r w:rsidR="000E7E26" w:rsidRPr="000E7E26">
        <w:rPr>
          <w:rStyle w:val="Appelnotedebasdep"/>
        </w:rPr>
        <w:t>7</w:t>
      </w:r>
      <w:r w:rsidR="002472D9" w:rsidRPr="002472D9">
        <w:rPr>
          <w:rStyle w:val="lev"/>
          <w:spacing w:val="0"/>
        </w:rPr>
        <w:fldChar w:fldCharType="end"/>
      </w:r>
      <w:r w:rsidRPr="002472D9">
        <w:rPr>
          <w:spacing w:val="0"/>
        </w:rPr>
        <w:t xml:space="preserve"> progresse de </w:t>
      </w:r>
      <w:r w:rsidR="00DB5BEE" w:rsidRPr="002472D9">
        <w:rPr>
          <w:spacing w:val="0"/>
        </w:rPr>
        <w:t>28</w:t>
      </w:r>
      <w:r w:rsidRPr="002472D9">
        <w:rPr>
          <w:spacing w:val="0"/>
        </w:rPr>
        <w:t>,5 % sur un an et s’établit</w:t>
      </w:r>
      <w:r w:rsidR="003A4476" w:rsidRPr="002472D9">
        <w:rPr>
          <w:spacing w:val="0"/>
        </w:rPr>
        <w:t xml:space="preserve"> à </w:t>
      </w:r>
      <w:r w:rsidR="00DB5BEE" w:rsidRPr="002472D9">
        <w:rPr>
          <w:spacing w:val="0"/>
        </w:rPr>
        <w:t>1 609</w:t>
      </w:r>
      <w:r w:rsidR="003A4476" w:rsidRPr="002472D9">
        <w:rPr>
          <w:spacing w:val="0"/>
        </w:rPr>
        <w:t xml:space="preserve"> millions d’euros au </w:t>
      </w:r>
      <w:r w:rsidR="00DB5BEE" w:rsidRPr="002472D9">
        <w:rPr>
          <w:spacing w:val="0"/>
        </w:rPr>
        <w:t xml:space="preserve">premier trimestre </w:t>
      </w:r>
      <w:r w:rsidRPr="002472D9">
        <w:rPr>
          <w:spacing w:val="0"/>
        </w:rPr>
        <w:t>201</w:t>
      </w:r>
      <w:r w:rsidR="00712CDC" w:rsidRPr="002472D9">
        <w:rPr>
          <w:spacing w:val="0"/>
        </w:rPr>
        <w:t>5</w:t>
      </w:r>
      <w:r w:rsidRPr="002472D9">
        <w:rPr>
          <w:spacing w:val="0"/>
        </w:rPr>
        <w:t xml:space="preserve">. Pour les métiers cœurs, le résultat avant impôt ressort à </w:t>
      </w:r>
      <w:r w:rsidR="00712CDC" w:rsidRPr="002472D9">
        <w:rPr>
          <w:spacing w:val="0"/>
        </w:rPr>
        <w:t>1</w:t>
      </w:r>
      <w:r w:rsidR="005547E2">
        <w:rPr>
          <w:spacing w:val="0"/>
        </w:rPr>
        <w:t> </w:t>
      </w:r>
      <w:r w:rsidR="00712CDC" w:rsidRPr="002472D9">
        <w:rPr>
          <w:spacing w:val="0"/>
        </w:rPr>
        <w:t>602</w:t>
      </w:r>
      <w:r w:rsidR="005547E2">
        <w:rPr>
          <w:spacing w:val="0"/>
        </w:rPr>
        <w:t> </w:t>
      </w:r>
      <w:r w:rsidRPr="002472D9">
        <w:rPr>
          <w:spacing w:val="0"/>
        </w:rPr>
        <w:t xml:space="preserve">millions d’euros, en hausse de </w:t>
      </w:r>
      <w:r w:rsidR="00712CDC" w:rsidRPr="002472D9">
        <w:rPr>
          <w:spacing w:val="0"/>
        </w:rPr>
        <w:t>19,0</w:t>
      </w:r>
      <w:r w:rsidRPr="002472D9">
        <w:rPr>
          <w:spacing w:val="0"/>
        </w:rPr>
        <w:t xml:space="preserve"> % par rapport </w:t>
      </w:r>
      <w:r w:rsidR="00712CDC" w:rsidRPr="002472D9">
        <w:rPr>
          <w:spacing w:val="0"/>
        </w:rPr>
        <w:t>au premier trimestre 2014</w:t>
      </w:r>
      <w:r w:rsidRPr="002472D9">
        <w:rPr>
          <w:spacing w:val="0"/>
        </w:rPr>
        <w:t>.</w:t>
      </w:r>
    </w:p>
    <w:p w:rsidR="00696668" w:rsidRPr="002472D9" w:rsidRDefault="00696668" w:rsidP="00696668">
      <w:pPr>
        <w:pStyle w:val="2-TEXTECOURANTcommuniqu"/>
        <w:rPr>
          <w:color w:val="FF0000"/>
          <w:spacing w:val="0"/>
        </w:rPr>
      </w:pPr>
    </w:p>
    <w:p w:rsidR="00386D87" w:rsidRPr="00075135" w:rsidRDefault="003E4CF1" w:rsidP="00386D87">
      <w:pPr>
        <w:pStyle w:val="2-TEXTECOURANTcommuniqu"/>
        <w:rPr>
          <w:spacing w:val="0"/>
        </w:rPr>
      </w:pPr>
      <w:r w:rsidRPr="00075135">
        <w:rPr>
          <w:spacing w:val="0"/>
        </w:rPr>
        <w:t xml:space="preserve">Retraité de l’impact </w:t>
      </w:r>
      <w:r w:rsidR="002472D9" w:rsidRPr="00075135">
        <w:rPr>
          <w:spacing w:val="0"/>
        </w:rPr>
        <w:t xml:space="preserve">de la norme </w:t>
      </w:r>
      <w:r w:rsidRPr="00075135">
        <w:rPr>
          <w:spacing w:val="0"/>
        </w:rPr>
        <w:t>IFRIC 21</w:t>
      </w:r>
      <w:r w:rsidR="002472D9" w:rsidRPr="00075135">
        <w:rPr>
          <w:spacing w:val="0"/>
        </w:rPr>
        <w:t xml:space="preserve"> et des éléments exceptionnels</w:t>
      </w:r>
      <w:r w:rsidRPr="00075135">
        <w:rPr>
          <w:spacing w:val="0"/>
        </w:rPr>
        <w:t>,</w:t>
      </w:r>
      <w:r w:rsidRPr="00075135">
        <w:rPr>
          <w:b/>
          <w:spacing w:val="0"/>
        </w:rPr>
        <w:t xml:space="preserve"> le résultat net part du groupe</w:t>
      </w:r>
      <w:r w:rsidRPr="00075135">
        <w:rPr>
          <w:spacing w:val="0"/>
        </w:rPr>
        <w:t xml:space="preserve"> croît de 16,1 % et s’établit à 1</w:t>
      </w:r>
      <w:r w:rsidR="00B26B08" w:rsidRPr="00075135">
        <w:rPr>
          <w:spacing w:val="0"/>
        </w:rPr>
        <w:t> </w:t>
      </w:r>
      <w:r w:rsidRPr="00075135">
        <w:rPr>
          <w:spacing w:val="0"/>
        </w:rPr>
        <w:t xml:space="preserve">006 millions d’euros. </w:t>
      </w:r>
      <w:r w:rsidR="00386D87" w:rsidRPr="00075135">
        <w:rPr>
          <w:spacing w:val="0"/>
        </w:rPr>
        <w:t xml:space="preserve">Le </w:t>
      </w:r>
      <w:r w:rsidR="00386D87" w:rsidRPr="00075135">
        <w:rPr>
          <w:rStyle w:val="lev"/>
          <w:spacing w:val="0"/>
        </w:rPr>
        <w:t>coefficient d’exploitation</w:t>
      </w:r>
      <w:r w:rsidR="00386D87" w:rsidRPr="00075135">
        <w:rPr>
          <w:spacing w:val="0"/>
        </w:rPr>
        <w:t xml:space="preserve"> s’améliore de 3,3 points, à 64,1 % pour le groupe. Il est de 62,9 % pour les métiers cœurs, en baisse de 2,2 points par rapport au premier trimestre 2014. Le </w:t>
      </w:r>
      <w:r w:rsidR="00386D87" w:rsidRPr="00075135">
        <w:rPr>
          <w:rStyle w:val="lev"/>
          <w:spacing w:val="0"/>
        </w:rPr>
        <w:t>ROE</w:t>
      </w:r>
      <w:r w:rsidR="00386D87" w:rsidRPr="00075135">
        <w:rPr>
          <w:spacing w:val="0"/>
        </w:rPr>
        <w:t xml:space="preserve"> du groupe ressort à </w:t>
      </w:r>
      <w:r w:rsidR="00386D87" w:rsidRPr="00075135">
        <w:rPr>
          <w:spacing w:val="0"/>
        </w:rPr>
        <w:lastRenderedPageBreak/>
        <w:t>7,4</w:t>
      </w:r>
      <w:r w:rsidR="005547E2" w:rsidRPr="00075135">
        <w:rPr>
          <w:spacing w:val="0"/>
        </w:rPr>
        <w:t> </w:t>
      </w:r>
      <w:r w:rsidR="00386D87" w:rsidRPr="00075135">
        <w:rPr>
          <w:spacing w:val="0"/>
        </w:rPr>
        <w:t>%</w:t>
      </w:r>
      <w:r w:rsidR="00460A89" w:rsidRPr="00075135">
        <w:rPr>
          <w:spacing w:val="0"/>
        </w:rPr>
        <w:t>,</w:t>
      </w:r>
      <w:r w:rsidR="00386D87" w:rsidRPr="00075135">
        <w:rPr>
          <w:spacing w:val="0"/>
        </w:rPr>
        <w:t xml:space="preserve"> en hausse de 0,7 point. Il est de 11 % pour les métiers cœurs, en augmentation d’un point par rapport au premier trimestre 201</w:t>
      </w:r>
      <w:r w:rsidR="00460A89" w:rsidRPr="00075135">
        <w:rPr>
          <w:spacing w:val="0"/>
        </w:rPr>
        <w:t>4</w:t>
      </w:r>
      <w:r w:rsidR="00386D87" w:rsidRPr="00075135">
        <w:rPr>
          <w:spacing w:val="0"/>
        </w:rPr>
        <w:t xml:space="preserve">. </w:t>
      </w:r>
    </w:p>
    <w:p w:rsidR="00386D87" w:rsidRPr="00075135" w:rsidRDefault="00386D87" w:rsidP="00696668">
      <w:pPr>
        <w:pStyle w:val="2-TEXTECOURANTcommuniqu"/>
        <w:rPr>
          <w:color w:val="FF0000"/>
          <w:spacing w:val="0"/>
        </w:rPr>
      </w:pPr>
    </w:p>
    <w:p w:rsidR="00C45839" w:rsidRPr="002472D9" w:rsidRDefault="00282C7E">
      <w:pPr>
        <w:jc w:val="left"/>
        <w:rPr>
          <w:b/>
          <w:color w:val="581D74"/>
        </w:rPr>
      </w:pPr>
      <w:r w:rsidRPr="00075135">
        <w:t xml:space="preserve">Après prise en compte d’éléments </w:t>
      </w:r>
      <w:r w:rsidR="002472D9" w:rsidRPr="00075135">
        <w:t xml:space="preserve">exceptionnels </w:t>
      </w:r>
      <w:r w:rsidRPr="00075135">
        <w:t>significatifs</w:t>
      </w:r>
      <w:r w:rsidR="009E59C4" w:rsidRPr="00075135">
        <w:t xml:space="preserve"> et de l’impact de l’IFRIC 21</w:t>
      </w:r>
      <w:r w:rsidRPr="00075135">
        <w:t>,</w:t>
      </w:r>
      <w:r w:rsidRPr="00075135">
        <w:rPr>
          <w:b/>
        </w:rPr>
        <w:t xml:space="preserve"> </w:t>
      </w:r>
      <w:r w:rsidRPr="00075135">
        <w:t xml:space="preserve">le </w:t>
      </w:r>
      <w:r w:rsidRPr="00075135">
        <w:rPr>
          <w:b/>
        </w:rPr>
        <w:t xml:space="preserve">résultat net part du groupe </w:t>
      </w:r>
      <w:r w:rsidR="002472D9" w:rsidRPr="00075135">
        <w:rPr>
          <w:b/>
        </w:rPr>
        <w:t>publié</w:t>
      </w:r>
      <w:r w:rsidR="002472D9" w:rsidRPr="00075135">
        <w:t xml:space="preserve"> </w:t>
      </w:r>
      <w:r w:rsidRPr="00075135">
        <w:t>affiche une baisse de 14,9 % par rapport au premier trimestre 2014, à 626 millions d’euros. Celui d</w:t>
      </w:r>
      <w:r w:rsidRPr="00075135">
        <w:rPr>
          <w:rStyle w:val="lev"/>
          <w:b w:val="0"/>
        </w:rPr>
        <w:t>es métiers cœurs</w:t>
      </w:r>
      <w:r w:rsidRPr="00075135">
        <w:t xml:space="preserve"> progresse de 13,8 % et atteint 895 millions d’euros pour le premier trimestre 2015.</w:t>
      </w:r>
    </w:p>
    <w:p w:rsidR="006E3737" w:rsidRDefault="006E3737" w:rsidP="006E3737">
      <w:pPr>
        <w:pStyle w:val="3-Titre1"/>
        <w:pBdr>
          <w:bottom w:val="none" w:sz="0" w:space="0" w:color="auto"/>
        </w:pBdr>
      </w:pPr>
      <w:r w:rsidRPr="0069247C">
        <w:t xml:space="preserve">RÉSULTATS CONSOLIDÉS </w:t>
      </w:r>
      <w:r>
        <w:t>DU PREMIER TRIMESTRE 2015</w:t>
      </w:r>
      <w:r w:rsidRPr="0069247C">
        <w:t xml:space="preserve"> DU GROUPE BPCE </w:t>
      </w:r>
    </w:p>
    <w:tbl>
      <w:tblPr>
        <w:tblStyle w:val="Grilledutableau"/>
        <w:tblW w:w="969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39"/>
        <w:gridCol w:w="1361"/>
        <w:gridCol w:w="1361"/>
        <w:gridCol w:w="113"/>
        <w:gridCol w:w="1361"/>
        <w:gridCol w:w="1361"/>
      </w:tblGrid>
      <w:tr w:rsidR="006E3737" w:rsidRPr="00A80C42" w:rsidTr="007A6AE1">
        <w:trPr>
          <w:trHeight w:val="907"/>
        </w:trPr>
        <w:tc>
          <w:tcPr>
            <w:tcW w:w="4139" w:type="dxa"/>
            <w:tcBorders>
              <w:bottom w:val="single" w:sz="24" w:space="0" w:color="A778AE" w:themeColor="accent2"/>
            </w:tcBorders>
            <w:vAlign w:val="center"/>
          </w:tcPr>
          <w:p w:rsidR="006E3737" w:rsidRPr="009446BF" w:rsidRDefault="006E3737" w:rsidP="007A6AE1">
            <w:pPr>
              <w:tabs>
                <w:tab w:val="left" w:pos="336"/>
              </w:tabs>
              <w:spacing w:line="240" w:lineRule="auto"/>
              <w:ind w:left="113" w:right="113"/>
              <w:jc w:val="left"/>
              <w:rPr>
                <w:b/>
                <w:color w:val="581D74" w:themeColor="accent1"/>
                <w:spacing w:val="-2"/>
                <w:sz w:val="18"/>
                <w:szCs w:val="18"/>
              </w:rPr>
            </w:pPr>
            <w:r>
              <w:rPr>
                <w:b/>
                <w:color w:val="581D74" w:themeColor="accent1"/>
                <w:spacing w:val="-2"/>
                <w:sz w:val="18"/>
                <w:szCs w:val="18"/>
              </w:rPr>
              <w:t>Résultats</w:t>
            </w:r>
          </w:p>
          <w:p w:rsidR="006E3737" w:rsidRPr="009446BF" w:rsidRDefault="006E3737" w:rsidP="007A6AE1">
            <w:pPr>
              <w:tabs>
                <w:tab w:val="left" w:pos="336"/>
              </w:tabs>
              <w:spacing w:line="240" w:lineRule="auto"/>
              <w:ind w:left="113" w:right="113"/>
              <w:jc w:val="left"/>
              <w:rPr>
                <w:spacing w:val="-2"/>
                <w:sz w:val="18"/>
                <w:szCs w:val="18"/>
              </w:rPr>
            </w:pPr>
            <w:r>
              <w:rPr>
                <w:color w:val="581D74" w:themeColor="accent1"/>
                <w:spacing w:val="-2"/>
                <w:sz w:val="16"/>
                <w:szCs w:val="18"/>
              </w:rPr>
              <w:t>en millions d’euros</w:t>
            </w:r>
          </w:p>
        </w:tc>
        <w:tc>
          <w:tcPr>
            <w:tcW w:w="1361" w:type="dxa"/>
            <w:tcBorders>
              <w:top w:val="single" w:sz="12" w:space="0" w:color="A778AE" w:themeColor="accent2"/>
              <w:bottom w:val="single" w:sz="24" w:space="0" w:color="A778AE" w:themeColor="accent2"/>
            </w:tcBorders>
            <w:shd w:val="clear" w:color="auto" w:fill="D9D9D9" w:themeFill="background1" w:themeFillShade="D9"/>
            <w:vAlign w:val="center"/>
          </w:tcPr>
          <w:p w:rsidR="006E3737" w:rsidRPr="009446BF" w:rsidRDefault="006E3737" w:rsidP="007A6AE1">
            <w:pPr>
              <w:tabs>
                <w:tab w:val="left" w:pos="336"/>
              </w:tabs>
              <w:spacing w:line="240" w:lineRule="auto"/>
              <w:ind w:right="113"/>
              <w:jc w:val="right"/>
              <w:rPr>
                <w:b/>
                <w:color w:val="581D74" w:themeColor="accent1"/>
                <w:spacing w:val="-2"/>
                <w:sz w:val="18"/>
                <w:szCs w:val="18"/>
              </w:rPr>
            </w:pPr>
            <w:r>
              <w:rPr>
                <w:b/>
                <w:color w:val="581D74" w:themeColor="accent1"/>
                <w:spacing w:val="-2"/>
                <w:sz w:val="18"/>
                <w:szCs w:val="18"/>
              </w:rPr>
              <w:t>T1-15</w:t>
            </w:r>
          </w:p>
        </w:tc>
        <w:tc>
          <w:tcPr>
            <w:tcW w:w="1361" w:type="dxa"/>
            <w:tcBorders>
              <w:top w:val="single" w:sz="12" w:space="0" w:color="A778AE" w:themeColor="accent2"/>
              <w:bottom w:val="single" w:sz="24" w:space="0" w:color="A778AE" w:themeColor="accent2"/>
            </w:tcBorders>
            <w:vAlign w:val="center"/>
          </w:tcPr>
          <w:p w:rsidR="006E3737" w:rsidRDefault="006E3737" w:rsidP="007A6AE1">
            <w:pPr>
              <w:tabs>
                <w:tab w:val="left" w:pos="336"/>
              </w:tabs>
              <w:spacing w:line="240" w:lineRule="auto"/>
              <w:ind w:right="113"/>
              <w:jc w:val="right"/>
              <w:rPr>
                <w:b/>
                <w:color w:val="581D74" w:themeColor="accent1"/>
                <w:spacing w:val="-2"/>
                <w:sz w:val="18"/>
                <w:szCs w:val="18"/>
              </w:rPr>
            </w:pPr>
            <w:r>
              <w:rPr>
                <w:b/>
                <w:color w:val="581D74" w:themeColor="accent1"/>
                <w:spacing w:val="-2"/>
                <w:sz w:val="18"/>
                <w:szCs w:val="18"/>
              </w:rPr>
              <w:t>T1-15</w:t>
            </w:r>
            <w:r w:rsidRPr="009446BF">
              <w:rPr>
                <w:b/>
                <w:color w:val="581D74" w:themeColor="accent1"/>
                <w:spacing w:val="-2"/>
                <w:sz w:val="18"/>
                <w:szCs w:val="18"/>
              </w:rPr>
              <w:t xml:space="preserve"> /</w:t>
            </w:r>
          </w:p>
          <w:p w:rsidR="006E3737" w:rsidRPr="009446BF" w:rsidRDefault="006E3737" w:rsidP="007A6AE1">
            <w:pPr>
              <w:tabs>
                <w:tab w:val="left" w:pos="336"/>
              </w:tabs>
              <w:spacing w:line="240" w:lineRule="auto"/>
              <w:ind w:right="113"/>
              <w:jc w:val="right"/>
              <w:rPr>
                <w:b/>
                <w:color w:val="581D74" w:themeColor="accent1"/>
                <w:spacing w:val="-2"/>
                <w:sz w:val="18"/>
                <w:szCs w:val="18"/>
              </w:rPr>
            </w:pPr>
            <w:r>
              <w:rPr>
                <w:b/>
                <w:color w:val="581D74" w:themeColor="accent1"/>
                <w:spacing w:val="-2"/>
                <w:sz w:val="18"/>
                <w:szCs w:val="18"/>
              </w:rPr>
              <w:t xml:space="preserve">T1-14 </w:t>
            </w:r>
            <w:r w:rsidRPr="009446BF">
              <w:rPr>
                <w:b/>
                <w:color w:val="581D74" w:themeColor="accent1"/>
                <w:spacing w:val="-2"/>
                <w:sz w:val="18"/>
                <w:szCs w:val="18"/>
                <w:vertAlign w:val="superscript"/>
              </w:rPr>
              <w:t>*</w:t>
            </w:r>
          </w:p>
          <w:p w:rsidR="006E3737" w:rsidRPr="009446BF" w:rsidRDefault="006E3737" w:rsidP="007A6AE1">
            <w:pPr>
              <w:tabs>
                <w:tab w:val="left" w:pos="336"/>
              </w:tabs>
              <w:spacing w:line="240" w:lineRule="auto"/>
              <w:ind w:right="113"/>
              <w:jc w:val="right"/>
              <w:rPr>
                <w:spacing w:val="-2"/>
                <w:sz w:val="18"/>
                <w:szCs w:val="18"/>
              </w:rPr>
            </w:pPr>
            <w:r w:rsidRPr="009446BF">
              <w:rPr>
                <w:color w:val="581D74" w:themeColor="accent1"/>
                <w:spacing w:val="-2"/>
                <w:sz w:val="16"/>
                <w:szCs w:val="18"/>
              </w:rPr>
              <w:t>variation %</w:t>
            </w:r>
          </w:p>
        </w:tc>
        <w:tc>
          <w:tcPr>
            <w:tcW w:w="113" w:type="dxa"/>
          </w:tcPr>
          <w:p w:rsidR="006E3737" w:rsidRPr="009446BF" w:rsidRDefault="006E3737" w:rsidP="007A6AE1">
            <w:pPr>
              <w:tabs>
                <w:tab w:val="left" w:pos="336"/>
              </w:tabs>
              <w:spacing w:line="240" w:lineRule="auto"/>
              <w:rPr>
                <w:spacing w:val="-2"/>
                <w:sz w:val="18"/>
                <w:szCs w:val="18"/>
              </w:rPr>
            </w:pPr>
          </w:p>
        </w:tc>
        <w:tc>
          <w:tcPr>
            <w:tcW w:w="1361" w:type="dxa"/>
            <w:tcBorders>
              <w:top w:val="single" w:sz="12" w:space="0" w:color="A778AE" w:themeColor="accent2"/>
              <w:bottom w:val="single" w:sz="24" w:space="0" w:color="A778AE" w:themeColor="accent2"/>
            </w:tcBorders>
            <w:shd w:val="clear" w:color="auto" w:fill="D9D9D9" w:themeFill="background1" w:themeFillShade="D9"/>
            <w:vAlign w:val="center"/>
          </w:tcPr>
          <w:p w:rsidR="006E3737" w:rsidRDefault="006E3737" w:rsidP="007A6AE1">
            <w:pPr>
              <w:tabs>
                <w:tab w:val="left" w:pos="336"/>
              </w:tabs>
              <w:spacing w:line="240" w:lineRule="auto"/>
              <w:ind w:right="113"/>
              <w:jc w:val="right"/>
              <w:rPr>
                <w:b/>
                <w:color w:val="581D74" w:themeColor="accent1"/>
                <w:spacing w:val="-2"/>
                <w:sz w:val="18"/>
                <w:szCs w:val="18"/>
              </w:rPr>
            </w:pPr>
            <w:r w:rsidRPr="009446BF">
              <w:rPr>
                <w:b/>
                <w:color w:val="581D74" w:themeColor="accent1"/>
                <w:spacing w:val="-2"/>
                <w:sz w:val="18"/>
                <w:szCs w:val="18"/>
              </w:rPr>
              <w:t>Métiers cœurs</w:t>
            </w:r>
            <w:r w:rsidRPr="009446BF">
              <w:rPr>
                <w:b/>
                <w:color w:val="581D74" w:themeColor="accent1"/>
                <w:spacing w:val="-2"/>
                <w:sz w:val="18"/>
                <w:szCs w:val="18"/>
                <w:vertAlign w:val="superscript"/>
              </w:rPr>
              <w:t>*</w:t>
            </w:r>
            <w:r>
              <w:rPr>
                <w:b/>
                <w:color w:val="581D74" w:themeColor="accent1"/>
                <w:spacing w:val="-2"/>
                <w:sz w:val="18"/>
                <w:szCs w:val="18"/>
                <w:vertAlign w:val="superscript"/>
              </w:rPr>
              <w:t>*</w:t>
            </w:r>
            <w:r w:rsidRPr="009446BF">
              <w:rPr>
                <w:b/>
                <w:color w:val="581D74" w:themeColor="accent1"/>
                <w:spacing w:val="-2"/>
                <w:sz w:val="18"/>
                <w:szCs w:val="18"/>
              </w:rPr>
              <w:t xml:space="preserve"> </w:t>
            </w:r>
          </w:p>
          <w:p w:rsidR="006E3737" w:rsidRPr="009446BF" w:rsidRDefault="006E3737" w:rsidP="007A6AE1">
            <w:pPr>
              <w:tabs>
                <w:tab w:val="left" w:pos="336"/>
              </w:tabs>
              <w:spacing w:line="240" w:lineRule="auto"/>
              <w:ind w:right="113"/>
              <w:jc w:val="right"/>
              <w:rPr>
                <w:spacing w:val="-2"/>
                <w:sz w:val="18"/>
                <w:szCs w:val="18"/>
              </w:rPr>
            </w:pPr>
            <w:r>
              <w:rPr>
                <w:b/>
                <w:color w:val="581D74" w:themeColor="accent1"/>
                <w:spacing w:val="-2"/>
                <w:sz w:val="18"/>
                <w:szCs w:val="18"/>
              </w:rPr>
              <w:t>T1-15</w:t>
            </w:r>
          </w:p>
        </w:tc>
        <w:tc>
          <w:tcPr>
            <w:tcW w:w="1361" w:type="dxa"/>
            <w:tcBorders>
              <w:top w:val="single" w:sz="12" w:space="0" w:color="A778AE" w:themeColor="accent2"/>
              <w:bottom w:val="single" w:sz="24" w:space="0" w:color="A778AE" w:themeColor="accent2"/>
            </w:tcBorders>
            <w:vAlign w:val="center"/>
          </w:tcPr>
          <w:p w:rsidR="006E3737" w:rsidRDefault="006E3737" w:rsidP="007A6AE1">
            <w:pPr>
              <w:tabs>
                <w:tab w:val="left" w:pos="336"/>
              </w:tabs>
              <w:spacing w:line="240" w:lineRule="auto"/>
              <w:ind w:right="113"/>
              <w:jc w:val="right"/>
              <w:rPr>
                <w:b/>
                <w:color w:val="581D74" w:themeColor="accent1"/>
                <w:spacing w:val="-2"/>
                <w:sz w:val="18"/>
                <w:szCs w:val="18"/>
              </w:rPr>
            </w:pPr>
            <w:r>
              <w:rPr>
                <w:b/>
                <w:color w:val="581D74" w:themeColor="accent1"/>
                <w:spacing w:val="-2"/>
                <w:sz w:val="18"/>
                <w:szCs w:val="18"/>
              </w:rPr>
              <w:t>T1-15</w:t>
            </w:r>
            <w:r w:rsidRPr="009446BF">
              <w:rPr>
                <w:b/>
                <w:color w:val="581D74" w:themeColor="accent1"/>
                <w:spacing w:val="-2"/>
                <w:sz w:val="18"/>
                <w:szCs w:val="18"/>
              </w:rPr>
              <w:t xml:space="preserve"> / </w:t>
            </w:r>
          </w:p>
          <w:p w:rsidR="006E3737" w:rsidRPr="009446BF" w:rsidRDefault="006E3737" w:rsidP="007A6AE1">
            <w:pPr>
              <w:tabs>
                <w:tab w:val="left" w:pos="336"/>
              </w:tabs>
              <w:spacing w:line="240" w:lineRule="auto"/>
              <w:ind w:right="113"/>
              <w:jc w:val="right"/>
              <w:rPr>
                <w:b/>
                <w:color w:val="581D74" w:themeColor="accent1"/>
                <w:spacing w:val="-2"/>
                <w:sz w:val="18"/>
                <w:szCs w:val="18"/>
              </w:rPr>
            </w:pPr>
            <w:r>
              <w:rPr>
                <w:b/>
                <w:color w:val="581D74" w:themeColor="accent1"/>
                <w:spacing w:val="-2"/>
                <w:sz w:val="18"/>
                <w:szCs w:val="18"/>
              </w:rPr>
              <w:t>T1-14</w:t>
            </w:r>
            <w:r w:rsidRPr="009446BF">
              <w:rPr>
                <w:b/>
                <w:color w:val="581D74" w:themeColor="accent1"/>
                <w:spacing w:val="-2"/>
                <w:sz w:val="18"/>
                <w:szCs w:val="18"/>
                <w:vertAlign w:val="superscript"/>
              </w:rPr>
              <w:t>*</w:t>
            </w:r>
          </w:p>
          <w:p w:rsidR="006E3737" w:rsidRPr="009446BF" w:rsidRDefault="006E3737" w:rsidP="007A6AE1">
            <w:pPr>
              <w:tabs>
                <w:tab w:val="left" w:pos="336"/>
              </w:tabs>
              <w:spacing w:line="240" w:lineRule="auto"/>
              <w:ind w:right="113"/>
              <w:jc w:val="right"/>
              <w:rPr>
                <w:spacing w:val="-2"/>
                <w:sz w:val="18"/>
                <w:szCs w:val="18"/>
              </w:rPr>
            </w:pPr>
            <w:r w:rsidRPr="009446BF">
              <w:rPr>
                <w:color w:val="581D74" w:themeColor="accent1"/>
                <w:spacing w:val="-2"/>
                <w:sz w:val="16"/>
                <w:szCs w:val="18"/>
              </w:rPr>
              <w:t>variation %</w:t>
            </w:r>
          </w:p>
        </w:tc>
      </w:tr>
      <w:tr w:rsidR="006E3737" w:rsidRPr="00A80C42" w:rsidTr="00453D34">
        <w:trPr>
          <w:trHeight w:val="340"/>
        </w:trPr>
        <w:tc>
          <w:tcPr>
            <w:tcW w:w="4139" w:type="dxa"/>
            <w:tcBorders>
              <w:top w:val="single" w:sz="24" w:space="0" w:color="A778AE" w:themeColor="accent2"/>
            </w:tcBorders>
            <w:vAlign w:val="center"/>
          </w:tcPr>
          <w:p w:rsidR="006E3737" w:rsidRPr="009446BF" w:rsidRDefault="006E3737" w:rsidP="007A6AE1">
            <w:pPr>
              <w:tabs>
                <w:tab w:val="left" w:pos="336"/>
              </w:tabs>
              <w:spacing w:line="240" w:lineRule="auto"/>
              <w:ind w:left="113" w:right="113"/>
              <w:jc w:val="left"/>
              <w:rPr>
                <w:spacing w:val="-2"/>
                <w:sz w:val="18"/>
                <w:szCs w:val="18"/>
              </w:rPr>
            </w:pPr>
            <w:r>
              <w:rPr>
                <w:spacing w:val="-2"/>
                <w:sz w:val="18"/>
                <w:szCs w:val="18"/>
              </w:rPr>
              <w:t xml:space="preserve">Produit net bancaire </w:t>
            </w:r>
            <w:r w:rsidRPr="009446BF">
              <w:rPr>
                <w:spacing w:val="-2"/>
                <w:sz w:val="18"/>
                <w:szCs w:val="18"/>
                <w:vertAlign w:val="superscript"/>
              </w:rPr>
              <w:t>**</w:t>
            </w:r>
            <w:r w:rsidR="00DF372D">
              <w:rPr>
                <w:spacing w:val="-2"/>
                <w:sz w:val="18"/>
                <w:szCs w:val="18"/>
                <w:vertAlign w:val="superscript"/>
              </w:rPr>
              <w:t>*</w:t>
            </w:r>
          </w:p>
        </w:tc>
        <w:tc>
          <w:tcPr>
            <w:tcW w:w="1361" w:type="dxa"/>
            <w:tcBorders>
              <w:top w:val="single" w:sz="24" w:space="0" w:color="A778AE" w:themeColor="accent2"/>
            </w:tcBorders>
            <w:shd w:val="clear" w:color="auto" w:fill="D9D9D9" w:themeFill="background1" w:themeFillShade="D9"/>
            <w:vAlign w:val="center"/>
          </w:tcPr>
          <w:p w:rsidR="006E3737" w:rsidRPr="009446BF" w:rsidRDefault="006E3737" w:rsidP="007A6AE1">
            <w:pPr>
              <w:tabs>
                <w:tab w:val="left" w:pos="336"/>
              </w:tabs>
              <w:spacing w:line="240" w:lineRule="auto"/>
              <w:ind w:right="113"/>
              <w:jc w:val="right"/>
              <w:rPr>
                <w:spacing w:val="-2"/>
                <w:sz w:val="18"/>
                <w:szCs w:val="18"/>
              </w:rPr>
            </w:pPr>
            <w:r>
              <w:rPr>
                <w:spacing w:val="-2"/>
                <w:sz w:val="18"/>
                <w:szCs w:val="18"/>
              </w:rPr>
              <w:t>6 199</w:t>
            </w:r>
          </w:p>
        </w:tc>
        <w:tc>
          <w:tcPr>
            <w:tcW w:w="1361" w:type="dxa"/>
            <w:tcBorders>
              <w:top w:val="single" w:sz="24" w:space="0" w:color="A778AE" w:themeColor="accent2"/>
            </w:tcBorders>
            <w:vAlign w:val="center"/>
          </w:tcPr>
          <w:p w:rsidR="006E3737" w:rsidRPr="009446BF" w:rsidRDefault="006E3737" w:rsidP="007A6AE1">
            <w:pPr>
              <w:tabs>
                <w:tab w:val="left" w:pos="336"/>
              </w:tabs>
              <w:spacing w:line="240" w:lineRule="auto"/>
              <w:ind w:right="113"/>
              <w:jc w:val="right"/>
              <w:rPr>
                <w:spacing w:val="-2"/>
                <w:sz w:val="18"/>
                <w:szCs w:val="18"/>
              </w:rPr>
            </w:pPr>
            <w:r>
              <w:rPr>
                <w:spacing w:val="-2"/>
                <w:sz w:val="18"/>
                <w:szCs w:val="18"/>
              </w:rPr>
              <w:t>+ 9,8 %</w:t>
            </w:r>
          </w:p>
        </w:tc>
        <w:tc>
          <w:tcPr>
            <w:tcW w:w="113" w:type="dxa"/>
          </w:tcPr>
          <w:p w:rsidR="006E3737" w:rsidRPr="009446BF" w:rsidRDefault="006E3737" w:rsidP="007A6AE1">
            <w:pPr>
              <w:tabs>
                <w:tab w:val="left" w:pos="336"/>
              </w:tabs>
              <w:spacing w:line="240" w:lineRule="auto"/>
              <w:rPr>
                <w:spacing w:val="-2"/>
                <w:sz w:val="18"/>
                <w:szCs w:val="18"/>
              </w:rPr>
            </w:pPr>
          </w:p>
        </w:tc>
        <w:tc>
          <w:tcPr>
            <w:tcW w:w="1361" w:type="dxa"/>
            <w:tcBorders>
              <w:top w:val="single" w:sz="24" w:space="0" w:color="A778AE" w:themeColor="accent2"/>
            </w:tcBorders>
            <w:shd w:val="clear" w:color="auto" w:fill="D9D9D9" w:themeFill="background1" w:themeFillShade="D9"/>
            <w:vAlign w:val="center"/>
          </w:tcPr>
          <w:p w:rsidR="006E3737" w:rsidRPr="009446BF" w:rsidRDefault="006E3737" w:rsidP="007A6AE1">
            <w:pPr>
              <w:tabs>
                <w:tab w:val="left" w:pos="336"/>
              </w:tabs>
              <w:spacing w:line="240" w:lineRule="auto"/>
              <w:ind w:right="113"/>
              <w:jc w:val="right"/>
              <w:rPr>
                <w:spacing w:val="-2"/>
                <w:sz w:val="18"/>
                <w:szCs w:val="18"/>
              </w:rPr>
            </w:pPr>
            <w:r>
              <w:rPr>
                <w:spacing w:val="-2"/>
                <w:sz w:val="18"/>
                <w:szCs w:val="18"/>
              </w:rPr>
              <w:t>5 904</w:t>
            </w:r>
          </w:p>
        </w:tc>
        <w:tc>
          <w:tcPr>
            <w:tcW w:w="1361" w:type="dxa"/>
            <w:tcBorders>
              <w:top w:val="single" w:sz="24" w:space="0" w:color="A778AE" w:themeColor="accent2"/>
            </w:tcBorders>
            <w:vAlign w:val="center"/>
          </w:tcPr>
          <w:p w:rsidR="006E3737" w:rsidRPr="009446BF" w:rsidRDefault="006E3737" w:rsidP="007A6AE1">
            <w:pPr>
              <w:tabs>
                <w:tab w:val="left" w:pos="336"/>
              </w:tabs>
              <w:spacing w:line="240" w:lineRule="auto"/>
              <w:ind w:right="113"/>
              <w:jc w:val="right"/>
              <w:rPr>
                <w:spacing w:val="-2"/>
                <w:sz w:val="18"/>
                <w:szCs w:val="18"/>
              </w:rPr>
            </w:pPr>
            <w:r>
              <w:rPr>
                <w:spacing w:val="-2"/>
                <w:sz w:val="18"/>
                <w:szCs w:val="18"/>
              </w:rPr>
              <w:t>+ 8,0 %</w:t>
            </w:r>
          </w:p>
        </w:tc>
      </w:tr>
      <w:tr w:rsidR="006E3737" w:rsidRPr="00A80C42" w:rsidTr="00453D34">
        <w:trPr>
          <w:trHeight w:val="340"/>
        </w:trPr>
        <w:tc>
          <w:tcPr>
            <w:tcW w:w="4139" w:type="dxa"/>
            <w:vAlign w:val="center"/>
          </w:tcPr>
          <w:p w:rsidR="006E3737" w:rsidRPr="009446BF" w:rsidRDefault="006E3737" w:rsidP="007A6AE1">
            <w:pPr>
              <w:tabs>
                <w:tab w:val="left" w:pos="336"/>
              </w:tabs>
              <w:spacing w:line="240" w:lineRule="auto"/>
              <w:ind w:left="113" w:right="113"/>
              <w:jc w:val="left"/>
              <w:rPr>
                <w:spacing w:val="-2"/>
                <w:sz w:val="18"/>
                <w:szCs w:val="18"/>
              </w:rPr>
            </w:pPr>
            <w:r>
              <w:rPr>
                <w:spacing w:val="-2"/>
                <w:sz w:val="18"/>
                <w:szCs w:val="18"/>
              </w:rPr>
              <w:t>Frais de gestion</w:t>
            </w:r>
          </w:p>
        </w:tc>
        <w:tc>
          <w:tcPr>
            <w:tcW w:w="1361" w:type="dxa"/>
            <w:shd w:val="clear" w:color="auto" w:fill="D9D9D9" w:themeFill="background1" w:themeFillShade="D9"/>
            <w:vAlign w:val="center"/>
          </w:tcPr>
          <w:p w:rsidR="006E3737" w:rsidRPr="009446BF" w:rsidRDefault="006E3737" w:rsidP="007A6AE1">
            <w:pPr>
              <w:tabs>
                <w:tab w:val="left" w:pos="336"/>
              </w:tabs>
              <w:spacing w:line="240" w:lineRule="auto"/>
              <w:ind w:right="113"/>
              <w:jc w:val="right"/>
              <w:rPr>
                <w:spacing w:val="-2"/>
                <w:sz w:val="18"/>
                <w:szCs w:val="18"/>
              </w:rPr>
            </w:pPr>
            <w:r>
              <w:rPr>
                <w:spacing w:val="-2"/>
                <w:sz w:val="18"/>
                <w:szCs w:val="18"/>
              </w:rPr>
              <w:t>- 4 158</w:t>
            </w:r>
          </w:p>
        </w:tc>
        <w:tc>
          <w:tcPr>
            <w:tcW w:w="1361" w:type="dxa"/>
            <w:vAlign w:val="center"/>
          </w:tcPr>
          <w:p w:rsidR="006E3737" w:rsidRPr="009446BF" w:rsidRDefault="006E3737" w:rsidP="007A6AE1">
            <w:pPr>
              <w:tabs>
                <w:tab w:val="left" w:pos="336"/>
              </w:tabs>
              <w:spacing w:line="240" w:lineRule="auto"/>
              <w:ind w:right="113"/>
              <w:jc w:val="right"/>
              <w:rPr>
                <w:spacing w:val="-2"/>
                <w:sz w:val="18"/>
                <w:szCs w:val="18"/>
              </w:rPr>
            </w:pPr>
            <w:r>
              <w:rPr>
                <w:spacing w:val="-2"/>
                <w:sz w:val="18"/>
                <w:szCs w:val="18"/>
              </w:rPr>
              <w:t>+ 3,3 %</w:t>
            </w:r>
          </w:p>
        </w:tc>
        <w:tc>
          <w:tcPr>
            <w:tcW w:w="113" w:type="dxa"/>
          </w:tcPr>
          <w:p w:rsidR="006E3737" w:rsidRPr="009446BF" w:rsidRDefault="006E3737" w:rsidP="007A6AE1">
            <w:pPr>
              <w:tabs>
                <w:tab w:val="left" w:pos="336"/>
              </w:tabs>
              <w:spacing w:line="240" w:lineRule="auto"/>
              <w:rPr>
                <w:spacing w:val="-2"/>
                <w:sz w:val="18"/>
                <w:szCs w:val="18"/>
              </w:rPr>
            </w:pPr>
          </w:p>
        </w:tc>
        <w:tc>
          <w:tcPr>
            <w:tcW w:w="1361" w:type="dxa"/>
            <w:shd w:val="clear" w:color="auto" w:fill="D9D9D9" w:themeFill="background1" w:themeFillShade="D9"/>
            <w:vAlign w:val="center"/>
          </w:tcPr>
          <w:p w:rsidR="006E3737" w:rsidRPr="009446BF" w:rsidRDefault="006E3737" w:rsidP="007A6AE1">
            <w:pPr>
              <w:tabs>
                <w:tab w:val="left" w:pos="336"/>
              </w:tabs>
              <w:spacing w:line="240" w:lineRule="auto"/>
              <w:ind w:right="113"/>
              <w:jc w:val="right"/>
              <w:rPr>
                <w:spacing w:val="-2"/>
                <w:sz w:val="18"/>
                <w:szCs w:val="18"/>
              </w:rPr>
            </w:pPr>
            <w:r>
              <w:rPr>
                <w:spacing w:val="-2"/>
                <w:sz w:val="18"/>
                <w:szCs w:val="18"/>
              </w:rPr>
              <w:t>- 3 896</w:t>
            </w:r>
          </w:p>
        </w:tc>
        <w:tc>
          <w:tcPr>
            <w:tcW w:w="1361" w:type="dxa"/>
            <w:vAlign w:val="center"/>
          </w:tcPr>
          <w:p w:rsidR="006E3737" w:rsidRPr="009446BF" w:rsidRDefault="006E3737" w:rsidP="007A6AE1">
            <w:pPr>
              <w:tabs>
                <w:tab w:val="left" w:pos="336"/>
              </w:tabs>
              <w:spacing w:line="240" w:lineRule="auto"/>
              <w:ind w:right="113"/>
              <w:jc w:val="right"/>
              <w:rPr>
                <w:spacing w:val="-2"/>
                <w:sz w:val="18"/>
                <w:szCs w:val="18"/>
              </w:rPr>
            </w:pPr>
            <w:r>
              <w:rPr>
                <w:spacing w:val="-2"/>
                <w:sz w:val="18"/>
                <w:szCs w:val="18"/>
              </w:rPr>
              <w:t>+ 3,3 %</w:t>
            </w:r>
          </w:p>
        </w:tc>
      </w:tr>
      <w:tr w:rsidR="006E3737" w:rsidRPr="00A80C42" w:rsidTr="00453D34">
        <w:trPr>
          <w:trHeight w:val="340"/>
        </w:trPr>
        <w:tc>
          <w:tcPr>
            <w:tcW w:w="4139" w:type="dxa"/>
            <w:vAlign w:val="center"/>
          </w:tcPr>
          <w:p w:rsidR="006E3737" w:rsidRPr="00AA12BF" w:rsidRDefault="006E3737" w:rsidP="007A6AE1">
            <w:pPr>
              <w:tabs>
                <w:tab w:val="left" w:pos="336"/>
              </w:tabs>
              <w:spacing w:line="240" w:lineRule="auto"/>
              <w:ind w:left="113" w:right="113"/>
              <w:jc w:val="left"/>
              <w:rPr>
                <w:b/>
                <w:color w:val="581D74" w:themeColor="accent1"/>
                <w:spacing w:val="-2"/>
                <w:sz w:val="18"/>
                <w:szCs w:val="18"/>
              </w:rPr>
            </w:pPr>
            <w:r w:rsidRPr="00AA12BF">
              <w:rPr>
                <w:b/>
                <w:color w:val="581D74" w:themeColor="accent1"/>
                <w:spacing w:val="-2"/>
                <w:sz w:val="18"/>
                <w:szCs w:val="18"/>
              </w:rPr>
              <w:t>Résultat brut d’exploitation</w:t>
            </w:r>
            <w:r w:rsidRPr="00AA12BF">
              <w:rPr>
                <w:b/>
                <w:color w:val="581D74" w:themeColor="accent1"/>
                <w:spacing w:val="-2"/>
                <w:sz w:val="18"/>
                <w:szCs w:val="18"/>
                <w:vertAlign w:val="superscript"/>
              </w:rPr>
              <w:t>**</w:t>
            </w:r>
            <w:r w:rsidR="00DF372D">
              <w:rPr>
                <w:b/>
                <w:color w:val="581D74" w:themeColor="accent1"/>
                <w:spacing w:val="-2"/>
                <w:sz w:val="18"/>
                <w:szCs w:val="18"/>
                <w:vertAlign w:val="superscript"/>
              </w:rPr>
              <w:t>*</w:t>
            </w:r>
          </w:p>
        </w:tc>
        <w:tc>
          <w:tcPr>
            <w:tcW w:w="1361" w:type="dxa"/>
            <w:shd w:val="clear" w:color="auto" w:fill="D9D9D9" w:themeFill="background1" w:themeFillShade="D9"/>
            <w:vAlign w:val="center"/>
          </w:tcPr>
          <w:p w:rsidR="006E3737" w:rsidRPr="00AA12BF" w:rsidRDefault="006E3737" w:rsidP="007A6AE1">
            <w:pPr>
              <w:tabs>
                <w:tab w:val="left" w:pos="336"/>
              </w:tabs>
              <w:spacing w:line="240" w:lineRule="auto"/>
              <w:ind w:right="113"/>
              <w:jc w:val="right"/>
              <w:rPr>
                <w:b/>
                <w:color w:val="581D74" w:themeColor="accent1"/>
                <w:spacing w:val="-2"/>
                <w:sz w:val="18"/>
                <w:szCs w:val="18"/>
              </w:rPr>
            </w:pPr>
            <w:r>
              <w:rPr>
                <w:b/>
                <w:color w:val="581D74" w:themeColor="accent1"/>
                <w:spacing w:val="-2"/>
                <w:sz w:val="18"/>
                <w:szCs w:val="18"/>
              </w:rPr>
              <w:t>2 041</w:t>
            </w:r>
          </w:p>
        </w:tc>
        <w:tc>
          <w:tcPr>
            <w:tcW w:w="1361" w:type="dxa"/>
            <w:vAlign w:val="center"/>
          </w:tcPr>
          <w:p w:rsidR="006E3737" w:rsidRPr="00AA12BF" w:rsidRDefault="006E3737" w:rsidP="007A6AE1">
            <w:pPr>
              <w:tabs>
                <w:tab w:val="left" w:pos="336"/>
              </w:tabs>
              <w:spacing w:line="240" w:lineRule="auto"/>
              <w:ind w:right="113"/>
              <w:jc w:val="right"/>
              <w:rPr>
                <w:b/>
                <w:color w:val="581D74" w:themeColor="accent1"/>
                <w:spacing w:val="-2"/>
                <w:sz w:val="18"/>
                <w:szCs w:val="18"/>
              </w:rPr>
            </w:pPr>
            <w:r>
              <w:rPr>
                <w:b/>
                <w:color w:val="581D74" w:themeColor="accent1"/>
                <w:spacing w:val="-2"/>
                <w:sz w:val="18"/>
                <w:szCs w:val="18"/>
              </w:rPr>
              <w:t>+ 25,9</w:t>
            </w:r>
            <w:r w:rsidRPr="00AA12BF">
              <w:rPr>
                <w:b/>
                <w:color w:val="581D74" w:themeColor="accent1"/>
                <w:spacing w:val="-2"/>
                <w:sz w:val="18"/>
                <w:szCs w:val="18"/>
              </w:rPr>
              <w:t xml:space="preserve"> %</w:t>
            </w:r>
          </w:p>
        </w:tc>
        <w:tc>
          <w:tcPr>
            <w:tcW w:w="113" w:type="dxa"/>
          </w:tcPr>
          <w:p w:rsidR="006E3737" w:rsidRPr="00AA12BF" w:rsidRDefault="006E3737" w:rsidP="007A6AE1">
            <w:pPr>
              <w:tabs>
                <w:tab w:val="left" w:pos="336"/>
              </w:tabs>
              <w:spacing w:line="240" w:lineRule="auto"/>
              <w:rPr>
                <w:b/>
                <w:color w:val="581D74" w:themeColor="accent1"/>
                <w:spacing w:val="-2"/>
                <w:sz w:val="18"/>
                <w:szCs w:val="18"/>
              </w:rPr>
            </w:pPr>
          </w:p>
        </w:tc>
        <w:tc>
          <w:tcPr>
            <w:tcW w:w="1361" w:type="dxa"/>
            <w:shd w:val="clear" w:color="auto" w:fill="D9D9D9" w:themeFill="background1" w:themeFillShade="D9"/>
            <w:vAlign w:val="center"/>
          </w:tcPr>
          <w:p w:rsidR="006E3737" w:rsidRPr="00AA12BF" w:rsidRDefault="006E3737" w:rsidP="007A6AE1">
            <w:pPr>
              <w:tabs>
                <w:tab w:val="left" w:pos="336"/>
              </w:tabs>
              <w:spacing w:line="240" w:lineRule="auto"/>
              <w:ind w:right="113"/>
              <w:jc w:val="right"/>
              <w:rPr>
                <w:b/>
                <w:color w:val="581D74" w:themeColor="accent1"/>
                <w:spacing w:val="-2"/>
                <w:sz w:val="18"/>
                <w:szCs w:val="18"/>
              </w:rPr>
            </w:pPr>
            <w:r>
              <w:rPr>
                <w:b/>
                <w:color w:val="581D74" w:themeColor="accent1"/>
                <w:spacing w:val="-2"/>
                <w:sz w:val="18"/>
                <w:szCs w:val="18"/>
              </w:rPr>
              <w:t>2</w:t>
            </w:r>
            <w:r w:rsidRPr="00AA12BF">
              <w:rPr>
                <w:b/>
                <w:color w:val="581D74" w:themeColor="accent1"/>
                <w:spacing w:val="-2"/>
                <w:sz w:val="18"/>
                <w:szCs w:val="18"/>
              </w:rPr>
              <w:t xml:space="preserve"> </w:t>
            </w:r>
            <w:r>
              <w:rPr>
                <w:b/>
                <w:color w:val="581D74" w:themeColor="accent1"/>
                <w:spacing w:val="-2"/>
                <w:sz w:val="18"/>
                <w:szCs w:val="18"/>
              </w:rPr>
              <w:t>008</w:t>
            </w:r>
          </w:p>
        </w:tc>
        <w:tc>
          <w:tcPr>
            <w:tcW w:w="1361" w:type="dxa"/>
            <w:vAlign w:val="center"/>
          </w:tcPr>
          <w:p w:rsidR="006E3737" w:rsidRPr="00AA12BF" w:rsidRDefault="006E3737" w:rsidP="007A6AE1">
            <w:pPr>
              <w:tabs>
                <w:tab w:val="left" w:pos="336"/>
              </w:tabs>
              <w:spacing w:line="240" w:lineRule="auto"/>
              <w:ind w:right="113"/>
              <w:jc w:val="right"/>
              <w:rPr>
                <w:b/>
                <w:color w:val="581D74" w:themeColor="accent1"/>
                <w:spacing w:val="-2"/>
                <w:sz w:val="18"/>
                <w:szCs w:val="18"/>
              </w:rPr>
            </w:pPr>
            <w:r>
              <w:rPr>
                <w:b/>
                <w:color w:val="581D74" w:themeColor="accent1"/>
                <w:spacing w:val="-2"/>
                <w:sz w:val="18"/>
                <w:szCs w:val="18"/>
              </w:rPr>
              <w:t xml:space="preserve">+ </w:t>
            </w:r>
            <w:r w:rsidRPr="00AA12BF">
              <w:rPr>
                <w:b/>
                <w:color w:val="581D74" w:themeColor="accent1"/>
                <w:spacing w:val="-2"/>
                <w:sz w:val="18"/>
                <w:szCs w:val="18"/>
              </w:rPr>
              <w:t>1</w:t>
            </w:r>
            <w:r>
              <w:rPr>
                <w:b/>
                <w:color w:val="581D74" w:themeColor="accent1"/>
                <w:spacing w:val="-2"/>
                <w:sz w:val="18"/>
                <w:szCs w:val="18"/>
              </w:rPr>
              <w:t>8,5</w:t>
            </w:r>
            <w:r w:rsidRPr="00AA12BF">
              <w:rPr>
                <w:b/>
                <w:color w:val="581D74" w:themeColor="accent1"/>
                <w:spacing w:val="-2"/>
                <w:sz w:val="18"/>
                <w:szCs w:val="18"/>
              </w:rPr>
              <w:t xml:space="preserve"> %</w:t>
            </w:r>
          </w:p>
        </w:tc>
      </w:tr>
      <w:tr w:rsidR="006E3737" w:rsidRPr="00A80C42" w:rsidTr="00453D34">
        <w:trPr>
          <w:trHeight w:val="340"/>
        </w:trPr>
        <w:tc>
          <w:tcPr>
            <w:tcW w:w="4139" w:type="dxa"/>
            <w:vAlign w:val="center"/>
          </w:tcPr>
          <w:p w:rsidR="006E3737" w:rsidRPr="009446BF" w:rsidRDefault="006E3737" w:rsidP="007A6AE1">
            <w:pPr>
              <w:tabs>
                <w:tab w:val="left" w:pos="336"/>
              </w:tabs>
              <w:spacing w:line="240" w:lineRule="auto"/>
              <w:ind w:left="113" w:right="113"/>
              <w:jc w:val="left"/>
              <w:rPr>
                <w:spacing w:val="-2"/>
                <w:sz w:val="18"/>
                <w:szCs w:val="18"/>
              </w:rPr>
            </w:pPr>
            <w:r>
              <w:rPr>
                <w:spacing w:val="-2"/>
                <w:sz w:val="18"/>
                <w:szCs w:val="18"/>
              </w:rPr>
              <w:t>Coût du risque</w:t>
            </w:r>
          </w:p>
        </w:tc>
        <w:tc>
          <w:tcPr>
            <w:tcW w:w="1361" w:type="dxa"/>
            <w:shd w:val="clear" w:color="auto" w:fill="D9D9D9" w:themeFill="background1" w:themeFillShade="D9"/>
            <w:vAlign w:val="center"/>
          </w:tcPr>
          <w:p w:rsidR="006E3737" w:rsidRPr="009446BF" w:rsidRDefault="006E3737" w:rsidP="007A6AE1">
            <w:pPr>
              <w:tabs>
                <w:tab w:val="left" w:pos="336"/>
              </w:tabs>
              <w:spacing w:line="240" w:lineRule="auto"/>
              <w:ind w:right="113"/>
              <w:jc w:val="right"/>
              <w:rPr>
                <w:spacing w:val="-2"/>
                <w:sz w:val="18"/>
                <w:szCs w:val="18"/>
              </w:rPr>
            </w:pPr>
            <w:r>
              <w:rPr>
                <w:spacing w:val="-2"/>
                <w:sz w:val="18"/>
                <w:szCs w:val="18"/>
              </w:rPr>
              <w:t>- 493</w:t>
            </w:r>
          </w:p>
        </w:tc>
        <w:tc>
          <w:tcPr>
            <w:tcW w:w="1361" w:type="dxa"/>
            <w:vAlign w:val="center"/>
          </w:tcPr>
          <w:p w:rsidR="006E3737" w:rsidRPr="009446BF" w:rsidRDefault="00DF372D" w:rsidP="007A6AE1">
            <w:pPr>
              <w:tabs>
                <w:tab w:val="left" w:pos="336"/>
              </w:tabs>
              <w:spacing w:line="240" w:lineRule="auto"/>
              <w:ind w:right="113"/>
              <w:jc w:val="right"/>
              <w:rPr>
                <w:spacing w:val="-2"/>
                <w:sz w:val="18"/>
                <w:szCs w:val="18"/>
              </w:rPr>
            </w:pPr>
            <w:r>
              <w:rPr>
                <w:spacing w:val="-2"/>
                <w:sz w:val="18"/>
                <w:szCs w:val="18"/>
              </w:rPr>
              <w:t>+</w:t>
            </w:r>
            <w:r w:rsidR="006E3737">
              <w:rPr>
                <w:spacing w:val="-2"/>
                <w:sz w:val="18"/>
                <w:szCs w:val="18"/>
              </w:rPr>
              <w:t xml:space="preserve"> 14,0 %</w:t>
            </w:r>
          </w:p>
        </w:tc>
        <w:tc>
          <w:tcPr>
            <w:tcW w:w="113" w:type="dxa"/>
          </w:tcPr>
          <w:p w:rsidR="006E3737" w:rsidRPr="009446BF" w:rsidRDefault="006E3737" w:rsidP="007A6AE1">
            <w:pPr>
              <w:tabs>
                <w:tab w:val="left" w:pos="336"/>
              </w:tabs>
              <w:spacing w:line="240" w:lineRule="auto"/>
              <w:rPr>
                <w:spacing w:val="-2"/>
                <w:sz w:val="18"/>
                <w:szCs w:val="18"/>
              </w:rPr>
            </w:pPr>
          </w:p>
        </w:tc>
        <w:tc>
          <w:tcPr>
            <w:tcW w:w="1361" w:type="dxa"/>
            <w:shd w:val="clear" w:color="auto" w:fill="D9D9D9" w:themeFill="background1" w:themeFillShade="D9"/>
            <w:vAlign w:val="center"/>
          </w:tcPr>
          <w:p w:rsidR="006E3737" w:rsidRPr="009446BF" w:rsidRDefault="006E3737" w:rsidP="007A6AE1">
            <w:pPr>
              <w:tabs>
                <w:tab w:val="left" w:pos="336"/>
              </w:tabs>
              <w:spacing w:line="240" w:lineRule="auto"/>
              <w:ind w:right="113"/>
              <w:jc w:val="right"/>
              <w:rPr>
                <w:spacing w:val="-2"/>
                <w:sz w:val="18"/>
                <w:szCs w:val="18"/>
              </w:rPr>
            </w:pPr>
            <w:r>
              <w:rPr>
                <w:spacing w:val="-2"/>
                <w:sz w:val="18"/>
                <w:szCs w:val="18"/>
              </w:rPr>
              <w:t>- 473</w:t>
            </w:r>
          </w:p>
        </w:tc>
        <w:tc>
          <w:tcPr>
            <w:tcW w:w="1361" w:type="dxa"/>
            <w:vAlign w:val="center"/>
          </w:tcPr>
          <w:p w:rsidR="006E3737" w:rsidRPr="009446BF" w:rsidRDefault="00DF372D" w:rsidP="007A6AE1">
            <w:pPr>
              <w:tabs>
                <w:tab w:val="left" w:pos="336"/>
              </w:tabs>
              <w:spacing w:line="240" w:lineRule="auto"/>
              <w:ind w:right="113"/>
              <w:jc w:val="right"/>
              <w:rPr>
                <w:spacing w:val="-2"/>
                <w:sz w:val="18"/>
                <w:szCs w:val="18"/>
              </w:rPr>
            </w:pPr>
            <w:r>
              <w:rPr>
                <w:spacing w:val="-2"/>
                <w:sz w:val="18"/>
                <w:szCs w:val="18"/>
              </w:rPr>
              <w:t>+</w:t>
            </w:r>
            <w:r w:rsidR="006E3737">
              <w:rPr>
                <w:spacing w:val="-2"/>
                <w:sz w:val="18"/>
                <w:szCs w:val="18"/>
              </w:rPr>
              <w:t xml:space="preserve"> 15,8 %</w:t>
            </w:r>
          </w:p>
        </w:tc>
      </w:tr>
      <w:tr w:rsidR="006E3737" w:rsidRPr="00A80C42" w:rsidTr="00453D34">
        <w:trPr>
          <w:trHeight w:val="340"/>
        </w:trPr>
        <w:tc>
          <w:tcPr>
            <w:tcW w:w="4139" w:type="dxa"/>
            <w:vAlign w:val="center"/>
          </w:tcPr>
          <w:p w:rsidR="006E3737" w:rsidRPr="00811ECB" w:rsidRDefault="006E3737" w:rsidP="007A6AE1">
            <w:pPr>
              <w:tabs>
                <w:tab w:val="left" w:pos="336"/>
              </w:tabs>
              <w:spacing w:line="240" w:lineRule="auto"/>
              <w:ind w:left="113" w:right="113"/>
              <w:jc w:val="left"/>
              <w:rPr>
                <w:b/>
                <w:color w:val="581D74" w:themeColor="accent1"/>
                <w:spacing w:val="-2"/>
                <w:sz w:val="18"/>
                <w:szCs w:val="18"/>
              </w:rPr>
            </w:pPr>
            <w:r w:rsidRPr="00811ECB">
              <w:rPr>
                <w:b/>
                <w:color w:val="581D74" w:themeColor="accent1"/>
                <w:spacing w:val="-2"/>
                <w:sz w:val="18"/>
                <w:szCs w:val="18"/>
              </w:rPr>
              <w:t>Résultat avant impôt</w:t>
            </w:r>
            <w:r w:rsidRPr="00811ECB">
              <w:rPr>
                <w:b/>
                <w:color w:val="581D74" w:themeColor="accent1"/>
                <w:spacing w:val="-2"/>
                <w:sz w:val="18"/>
                <w:szCs w:val="18"/>
                <w:vertAlign w:val="superscript"/>
              </w:rPr>
              <w:t>**</w:t>
            </w:r>
            <w:r w:rsidR="00DF372D">
              <w:rPr>
                <w:b/>
                <w:color w:val="581D74" w:themeColor="accent1"/>
                <w:spacing w:val="-2"/>
                <w:sz w:val="18"/>
                <w:szCs w:val="18"/>
                <w:vertAlign w:val="superscript"/>
              </w:rPr>
              <w:t>*</w:t>
            </w:r>
          </w:p>
        </w:tc>
        <w:tc>
          <w:tcPr>
            <w:tcW w:w="1361" w:type="dxa"/>
            <w:shd w:val="clear" w:color="auto" w:fill="D9D9D9" w:themeFill="background1" w:themeFillShade="D9"/>
            <w:vAlign w:val="center"/>
          </w:tcPr>
          <w:p w:rsidR="006E3737" w:rsidRPr="00811ECB" w:rsidRDefault="006E3737" w:rsidP="007A6AE1">
            <w:pPr>
              <w:tabs>
                <w:tab w:val="left" w:pos="336"/>
              </w:tabs>
              <w:spacing w:line="240" w:lineRule="auto"/>
              <w:ind w:right="113"/>
              <w:jc w:val="right"/>
              <w:rPr>
                <w:b/>
                <w:color w:val="581D74" w:themeColor="accent1"/>
                <w:spacing w:val="-2"/>
                <w:sz w:val="18"/>
                <w:szCs w:val="18"/>
              </w:rPr>
            </w:pPr>
            <w:r>
              <w:rPr>
                <w:b/>
                <w:color w:val="581D74" w:themeColor="accent1"/>
                <w:spacing w:val="-2"/>
                <w:sz w:val="18"/>
                <w:szCs w:val="18"/>
              </w:rPr>
              <w:t>1 609</w:t>
            </w:r>
          </w:p>
        </w:tc>
        <w:tc>
          <w:tcPr>
            <w:tcW w:w="1361" w:type="dxa"/>
            <w:vAlign w:val="center"/>
          </w:tcPr>
          <w:p w:rsidR="006E3737" w:rsidRPr="00811ECB" w:rsidRDefault="006E3737" w:rsidP="007A6AE1">
            <w:pPr>
              <w:tabs>
                <w:tab w:val="left" w:pos="336"/>
              </w:tabs>
              <w:spacing w:line="240" w:lineRule="auto"/>
              <w:ind w:right="113"/>
              <w:jc w:val="right"/>
              <w:rPr>
                <w:b/>
                <w:color w:val="581D74" w:themeColor="accent1"/>
                <w:spacing w:val="-2"/>
                <w:sz w:val="18"/>
                <w:szCs w:val="18"/>
              </w:rPr>
            </w:pPr>
            <w:r w:rsidRPr="00811ECB">
              <w:rPr>
                <w:b/>
                <w:color w:val="581D74" w:themeColor="accent1"/>
                <w:spacing w:val="-2"/>
                <w:sz w:val="18"/>
                <w:szCs w:val="18"/>
              </w:rPr>
              <w:t xml:space="preserve">+ </w:t>
            </w:r>
            <w:r>
              <w:rPr>
                <w:b/>
                <w:color w:val="581D74" w:themeColor="accent1"/>
                <w:spacing w:val="-2"/>
                <w:sz w:val="18"/>
                <w:szCs w:val="18"/>
              </w:rPr>
              <w:t>28</w:t>
            </w:r>
            <w:r w:rsidRPr="00811ECB">
              <w:rPr>
                <w:b/>
                <w:color w:val="581D74" w:themeColor="accent1"/>
                <w:spacing w:val="-2"/>
                <w:sz w:val="18"/>
                <w:szCs w:val="18"/>
              </w:rPr>
              <w:t>,5 %</w:t>
            </w:r>
          </w:p>
        </w:tc>
        <w:tc>
          <w:tcPr>
            <w:tcW w:w="113" w:type="dxa"/>
          </w:tcPr>
          <w:p w:rsidR="006E3737" w:rsidRPr="00811ECB" w:rsidRDefault="006E3737" w:rsidP="007A6AE1">
            <w:pPr>
              <w:tabs>
                <w:tab w:val="left" w:pos="336"/>
              </w:tabs>
              <w:spacing w:line="240" w:lineRule="auto"/>
              <w:rPr>
                <w:b/>
                <w:color w:val="581D74" w:themeColor="accent1"/>
                <w:spacing w:val="-2"/>
                <w:sz w:val="18"/>
                <w:szCs w:val="18"/>
              </w:rPr>
            </w:pPr>
          </w:p>
        </w:tc>
        <w:tc>
          <w:tcPr>
            <w:tcW w:w="1361" w:type="dxa"/>
            <w:shd w:val="clear" w:color="auto" w:fill="D9D9D9" w:themeFill="background1" w:themeFillShade="D9"/>
            <w:vAlign w:val="center"/>
          </w:tcPr>
          <w:p w:rsidR="006E3737" w:rsidRPr="00811ECB" w:rsidRDefault="006E3737" w:rsidP="007A6AE1">
            <w:pPr>
              <w:tabs>
                <w:tab w:val="left" w:pos="336"/>
              </w:tabs>
              <w:spacing w:line="240" w:lineRule="auto"/>
              <w:ind w:right="113"/>
              <w:jc w:val="right"/>
              <w:rPr>
                <w:b/>
                <w:color w:val="581D74" w:themeColor="accent1"/>
                <w:spacing w:val="-2"/>
                <w:sz w:val="18"/>
                <w:szCs w:val="18"/>
              </w:rPr>
            </w:pPr>
            <w:r>
              <w:rPr>
                <w:b/>
                <w:color w:val="581D74" w:themeColor="accent1"/>
                <w:spacing w:val="-2"/>
                <w:sz w:val="18"/>
                <w:szCs w:val="18"/>
              </w:rPr>
              <w:t>1 602</w:t>
            </w:r>
          </w:p>
        </w:tc>
        <w:tc>
          <w:tcPr>
            <w:tcW w:w="1361" w:type="dxa"/>
            <w:vAlign w:val="center"/>
          </w:tcPr>
          <w:p w:rsidR="006E3737" w:rsidRPr="00811ECB" w:rsidRDefault="006E3737" w:rsidP="007A6AE1">
            <w:pPr>
              <w:tabs>
                <w:tab w:val="left" w:pos="336"/>
              </w:tabs>
              <w:spacing w:line="240" w:lineRule="auto"/>
              <w:ind w:right="113"/>
              <w:jc w:val="right"/>
              <w:rPr>
                <w:b/>
                <w:color w:val="581D74" w:themeColor="accent1"/>
                <w:spacing w:val="-2"/>
                <w:sz w:val="18"/>
                <w:szCs w:val="18"/>
              </w:rPr>
            </w:pPr>
            <w:r w:rsidRPr="00811ECB">
              <w:rPr>
                <w:b/>
                <w:color w:val="581D74" w:themeColor="accent1"/>
                <w:spacing w:val="-2"/>
                <w:sz w:val="18"/>
                <w:szCs w:val="18"/>
              </w:rPr>
              <w:t xml:space="preserve">+ </w:t>
            </w:r>
            <w:r>
              <w:rPr>
                <w:b/>
                <w:color w:val="581D74" w:themeColor="accent1"/>
                <w:spacing w:val="-2"/>
                <w:sz w:val="18"/>
                <w:szCs w:val="18"/>
              </w:rPr>
              <w:t>19,0</w:t>
            </w:r>
            <w:r w:rsidRPr="00811ECB">
              <w:rPr>
                <w:b/>
                <w:color w:val="581D74" w:themeColor="accent1"/>
                <w:spacing w:val="-2"/>
                <w:sz w:val="18"/>
                <w:szCs w:val="18"/>
              </w:rPr>
              <w:t xml:space="preserve"> %</w:t>
            </w:r>
          </w:p>
        </w:tc>
      </w:tr>
      <w:tr w:rsidR="006E3737" w:rsidRPr="00A80C42" w:rsidTr="00453D34">
        <w:trPr>
          <w:trHeight w:val="340"/>
        </w:trPr>
        <w:tc>
          <w:tcPr>
            <w:tcW w:w="4139" w:type="dxa"/>
            <w:vAlign w:val="center"/>
          </w:tcPr>
          <w:p w:rsidR="006E3737" w:rsidRPr="00811ECB" w:rsidRDefault="006E3737" w:rsidP="007A6AE1">
            <w:pPr>
              <w:tabs>
                <w:tab w:val="left" w:pos="336"/>
              </w:tabs>
              <w:spacing w:line="240" w:lineRule="auto"/>
              <w:ind w:left="113" w:right="113"/>
              <w:jc w:val="left"/>
              <w:rPr>
                <w:b/>
                <w:color w:val="581D74" w:themeColor="accent1"/>
                <w:spacing w:val="-2"/>
                <w:sz w:val="18"/>
                <w:szCs w:val="18"/>
              </w:rPr>
            </w:pPr>
            <w:r w:rsidRPr="00811ECB">
              <w:rPr>
                <w:b/>
                <w:color w:val="581D74" w:themeColor="accent1"/>
                <w:spacing w:val="-2"/>
                <w:sz w:val="18"/>
                <w:szCs w:val="18"/>
              </w:rPr>
              <w:t>Résultat net part du groupe</w:t>
            </w:r>
            <w:r w:rsidRPr="00CC0E7A">
              <w:rPr>
                <w:b/>
                <w:color w:val="581D74" w:themeColor="accent1"/>
                <w:spacing w:val="-2"/>
                <w:sz w:val="18"/>
                <w:szCs w:val="18"/>
                <w:vertAlign w:val="superscript"/>
              </w:rPr>
              <w:t>**</w:t>
            </w:r>
            <w:r w:rsidR="00DF372D">
              <w:rPr>
                <w:b/>
                <w:color w:val="581D74" w:themeColor="accent1"/>
                <w:spacing w:val="-2"/>
                <w:sz w:val="18"/>
                <w:szCs w:val="18"/>
                <w:vertAlign w:val="superscript"/>
              </w:rPr>
              <w:t>*</w:t>
            </w:r>
          </w:p>
        </w:tc>
        <w:tc>
          <w:tcPr>
            <w:tcW w:w="1361" w:type="dxa"/>
            <w:shd w:val="clear" w:color="auto" w:fill="D9D9D9" w:themeFill="background1" w:themeFillShade="D9"/>
            <w:vAlign w:val="center"/>
          </w:tcPr>
          <w:p w:rsidR="006E3737" w:rsidRPr="00811ECB" w:rsidRDefault="006E3737" w:rsidP="007A6AE1">
            <w:pPr>
              <w:tabs>
                <w:tab w:val="left" w:pos="336"/>
              </w:tabs>
              <w:spacing w:line="240" w:lineRule="auto"/>
              <w:ind w:right="113"/>
              <w:jc w:val="right"/>
              <w:rPr>
                <w:b/>
                <w:color w:val="581D74" w:themeColor="accent1"/>
                <w:spacing w:val="-2"/>
                <w:sz w:val="18"/>
                <w:szCs w:val="18"/>
              </w:rPr>
            </w:pPr>
            <w:r>
              <w:rPr>
                <w:b/>
                <w:color w:val="581D74" w:themeColor="accent1"/>
                <w:spacing w:val="-2"/>
                <w:sz w:val="18"/>
                <w:szCs w:val="18"/>
              </w:rPr>
              <w:t>871</w:t>
            </w:r>
          </w:p>
        </w:tc>
        <w:tc>
          <w:tcPr>
            <w:tcW w:w="1361" w:type="dxa"/>
            <w:vAlign w:val="center"/>
          </w:tcPr>
          <w:p w:rsidR="006E3737" w:rsidRPr="00811ECB" w:rsidRDefault="006E3737" w:rsidP="007A6AE1">
            <w:pPr>
              <w:tabs>
                <w:tab w:val="left" w:pos="336"/>
              </w:tabs>
              <w:spacing w:line="240" w:lineRule="auto"/>
              <w:ind w:right="113"/>
              <w:jc w:val="right"/>
              <w:rPr>
                <w:b/>
                <w:color w:val="581D74" w:themeColor="accent1"/>
                <w:spacing w:val="-2"/>
                <w:sz w:val="18"/>
                <w:szCs w:val="18"/>
              </w:rPr>
            </w:pPr>
            <w:r w:rsidRPr="00811ECB">
              <w:rPr>
                <w:b/>
                <w:color w:val="581D74" w:themeColor="accent1"/>
                <w:spacing w:val="-2"/>
                <w:sz w:val="18"/>
                <w:szCs w:val="18"/>
              </w:rPr>
              <w:t xml:space="preserve">+ </w:t>
            </w:r>
            <w:r>
              <w:rPr>
                <w:b/>
                <w:color w:val="581D74" w:themeColor="accent1"/>
                <w:spacing w:val="-2"/>
                <w:sz w:val="18"/>
                <w:szCs w:val="18"/>
              </w:rPr>
              <w:t>17,8</w:t>
            </w:r>
            <w:r w:rsidRPr="00811ECB">
              <w:rPr>
                <w:b/>
                <w:color w:val="581D74" w:themeColor="accent1"/>
                <w:spacing w:val="-2"/>
                <w:sz w:val="18"/>
                <w:szCs w:val="18"/>
              </w:rPr>
              <w:t xml:space="preserve"> %</w:t>
            </w:r>
          </w:p>
        </w:tc>
        <w:tc>
          <w:tcPr>
            <w:tcW w:w="113" w:type="dxa"/>
          </w:tcPr>
          <w:p w:rsidR="006E3737" w:rsidRPr="00811ECB" w:rsidRDefault="006E3737" w:rsidP="007A6AE1">
            <w:pPr>
              <w:tabs>
                <w:tab w:val="left" w:pos="336"/>
              </w:tabs>
              <w:spacing w:line="240" w:lineRule="auto"/>
              <w:rPr>
                <w:b/>
                <w:color w:val="581D74" w:themeColor="accent1"/>
                <w:spacing w:val="-2"/>
                <w:sz w:val="18"/>
                <w:szCs w:val="18"/>
              </w:rPr>
            </w:pPr>
          </w:p>
        </w:tc>
        <w:tc>
          <w:tcPr>
            <w:tcW w:w="1361" w:type="dxa"/>
            <w:shd w:val="clear" w:color="auto" w:fill="D9D9D9" w:themeFill="background1" w:themeFillShade="D9"/>
            <w:vAlign w:val="center"/>
          </w:tcPr>
          <w:p w:rsidR="006E3737" w:rsidRPr="00811ECB" w:rsidRDefault="006E3737" w:rsidP="007A6AE1">
            <w:pPr>
              <w:tabs>
                <w:tab w:val="left" w:pos="336"/>
              </w:tabs>
              <w:spacing w:line="240" w:lineRule="auto"/>
              <w:ind w:right="113"/>
              <w:jc w:val="right"/>
              <w:rPr>
                <w:b/>
                <w:color w:val="581D74" w:themeColor="accent1"/>
                <w:spacing w:val="-2"/>
                <w:sz w:val="18"/>
                <w:szCs w:val="18"/>
              </w:rPr>
            </w:pPr>
            <w:r w:rsidRPr="00811ECB">
              <w:rPr>
                <w:b/>
                <w:color w:val="581D74" w:themeColor="accent1"/>
                <w:spacing w:val="-2"/>
                <w:sz w:val="18"/>
                <w:szCs w:val="18"/>
              </w:rPr>
              <w:t xml:space="preserve"> </w:t>
            </w:r>
            <w:r>
              <w:rPr>
                <w:b/>
                <w:color w:val="581D74" w:themeColor="accent1"/>
                <w:spacing w:val="-2"/>
                <w:sz w:val="18"/>
                <w:szCs w:val="18"/>
              </w:rPr>
              <w:t>895</w:t>
            </w:r>
          </w:p>
        </w:tc>
        <w:tc>
          <w:tcPr>
            <w:tcW w:w="1361" w:type="dxa"/>
            <w:vAlign w:val="center"/>
          </w:tcPr>
          <w:p w:rsidR="006E3737" w:rsidRPr="00811ECB" w:rsidRDefault="006E3737" w:rsidP="007A6AE1">
            <w:pPr>
              <w:tabs>
                <w:tab w:val="left" w:pos="336"/>
              </w:tabs>
              <w:spacing w:line="240" w:lineRule="auto"/>
              <w:ind w:right="113"/>
              <w:jc w:val="right"/>
              <w:rPr>
                <w:b/>
                <w:color w:val="581D74" w:themeColor="accent1"/>
                <w:spacing w:val="-2"/>
                <w:sz w:val="18"/>
                <w:szCs w:val="18"/>
              </w:rPr>
            </w:pPr>
            <w:r w:rsidRPr="00811ECB">
              <w:rPr>
                <w:b/>
                <w:color w:val="581D74" w:themeColor="accent1"/>
                <w:spacing w:val="-2"/>
                <w:sz w:val="18"/>
                <w:szCs w:val="18"/>
              </w:rPr>
              <w:t xml:space="preserve">+ </w:t>
            </w:r>
            <w:r>
              <w:rPr>
                <w:b/>
                <w:color w:val="581D74" w:themeColor="accent1"/>
                <w:spacing w:val="-2"/>
                <w:sz w:val="18"/>
                <w:szCs w:val="18"/>
              </w:rPr>
              <w:t>13</w:t>
            </w:r>
            <w:r w:rsidRPr="00811ECB">
              <w:rPr>
                <w:b/>
                <w:color w:val="581D74" w:themeColor="accent1"/>
                <w:spacing w:val="-2"/>
                <w:sz w:val="18"/>
                <w:szCs w:val="18"/>
              </w:rPr>
              <w:t>,8 %</w:t>
            </w:r>
          </w:p>
        </w:tc>
      </w:tr>
      <w:tr w:rsidR="006E3737" w:rsidRPr="00A80C42" w:rsidTr="00453D34">
        <w:trPr>
          <w:trHeight w:val="227"/>
        </w:trPr>
        <w:tc>
          <w:tcPr>
            <w:tcW w:w="4139" w:type="dxa"/>
            <w:vAlign w:val="center"/>
          </w:tcPr>
          <w:p w:rsidR="006E3737" w:rsidRPr="00AA12BF" w:rsidRDefault="006E3737" w:rsidP="007A6AE1">
            <w:pPr>
              <w:tabs>
                <w:tab w:val="left" w:pos="336"/>
              </w:tabs>
              <w:spacing w:line="240" w:lineRule="auto"/>
              <w:ind w:left="113" w:right="113"/>
              <w:jc w:val="left"/>
              <w:rPr>
                <w:b/>
                <w:spacing w:val="-2"/>
                <w:sz w:val="18"/>
                <w:szCs w:val="18"/>
              </w:rPr>
            </w:pPr>
          </w:p>
        </w:tc>
        <w:tc>
          <w:tcPr>
            <w:tcW w:w="1361" w:type="dxa"/>
            <w:shd w:val="clear" w:color="auto" w:fill="D9D9D9" w:themeFill="background1" w:themeFillShade="D9"/>
            <w:vAlign w:val="center"/>
          </w:tcPr>
          <w:p w:rsidR="006E3737" w:rsidRPr="00AA12BF" w:rsidRDefault="006E3737" w:rsidP="007A6AE1">
            <w:pPr>
              <w:tabs>
                <w:tab w:val="left" w:pos="336"/>
              </w:tabs>
              <w:spacing w:line="240" w:lineRule="auto"/>
              <w:ind w:right="113"/>
              <w:jc w:val="right"/>
              <w:rPr>
                <w:b/>
                <w:spacing w:val="-2"/>
                <w:sz w:val="18"/>
                <w:szCs w:val="18"/>
              </w:rPr>
            </w:pPr>
          </w:p>
        </w:tc>
        <w:tc>
          <w:tcPr>
            <w:tcW w:w="1361" w:type="dxa"/>
            <w:vAlign w:val="center"/>
          </w:tcPr>
          <w:p w:rsidR="006E3737" w:rsidRPr="00AA12BF" w:rsidRDefault="006E3737" w:rsidP="007A6AE1">
            <w:pPr>
              <w:tabs>
                <w:tab w:val="left" w:pos="336"/>
              </w:tabs>
              <w:spacing w:line="240" w:lineRule="auto"/>
              <w:ind w:right="113"/>
              <w:jc w:val="right"/>
              <w:rPr>
                <w:b/>
                <w:spacing w:val="-2"/>
                <w:sz w:val="18"/>
                <w:szCs w:val="18"/>
              </w:rPr>
            </w:pPr>
          </w:p>
        </w:tc>
        <w:tc>
          <w:tcPr>
            <w:tcW w:w="113" w:type="dxa"/>
          </w:tcPr>
          <w:p w:rsidR="006E3737" w:rsidRPr="00AA12BF" w:rsidRDefault="006E3737" w:rsidP="007A6AE1">
            <w:pPr>
              <w:tabs>
                <w:tab w:val="left" w:pos="336"/>
              </w:tabs>
              <w:spacing w:line="240" w:lineRule="auto"/>
              <w:rPr>
                <w:b/>
                <w:spacing w:val="-2"/>
                <w:sz w:val="18"/>
                <w:szCs w:val="18"/>
              </w:rPr>
            </w:pPr>
          </w:p>
        </w:tc>
        <w:tc>
          <w:tcPr>
            <w:tcW w:w="1361" w:type="dxa"/>
            <w:shd w:val="clear" w:color="auto" w:fill="D9D9D9" w:themeFill="background1" w:themeFillShade="D9"/>
            <w:vAlign w:val="center"/>
          </w:tcPr>
          <w:p w:rsidR="006E3737" w:rsidRPr="00AA12BF" w:rsidRDefault="006E3737" w:rsidP="007A6AE1">
            <w:pPr>
              <w:tabs>
                <w:tab w:val="left" w:pos="336"/>
              </w:tabs>
              <w:spacing w:line="240" w:lineRule="auto"/>
              <w:ind w:right="113"/>
              <w:jc w:val="right"/>
              <w:rPr>
                <w:b/>
                <w:spacing w:val="-2"/>
                <w:sz w:val="18"/>
                <w:szCs w:val="18"/>
              </w:rPr>
            </w:pPr>
          </w:p>
        </w:tc>
        <w:tc>
          <w:tcPr>
            <w:tcW w:w="1361" w:type="dxa"/>
            <w:vAlign w:val="center"/>
          </w:tcPr>
          <w:p w:rsidR="006E3737" w:rsidRPr="00AA12BF" w:rsidRDefault="006E3737" w:rsidP="007A6AE1">
            <w:pPr>
              <w:tabs>
                <w:tab w:val="left" w:pos="336"/>
              </w:tabs>
              <w:spacing w:line="240" w:lineRule="auto"/>
              <w:ind w:right="113"/>
              <w:jc w:val="right"/>
              <w:rPr>
                <w:b/>
                <w:spacing w:val="-2"/>
                <w:sz w:val="18"/>
                <w:szCs w:val="18"/>
              </w:rPr>
            </w:pPr>
          </w:p>
        </w:tc>
      </w:tr>
      <w:tr w:rsidR="006E3737" w:rsidRPr="00A80C42" w:rsidTr="00453D34">
        <w:trPr>
          <w:trHeight w:val="340"/>
        </w:trPr>
        <w:tc>
          <w:tcPr>
            <w:tcW w:w="4139" w:type="dxa"/>
            <w:tcBorders>
              <w:bottom w:val="single" w:sz="12" w:space="0" w:color="A778AE" w:themeColor="accent2"/>
            </w:tcBorders>
            <w:vAlign w:val="center"/>
          </w:tcPr>
          <w:p w:rsidR="006E3737" w:rsidRPr="00811ECB" w:rsidRDefault="006E3737" w:rsidP="007A6AE1">
            <w:pPr>
              <w:tabs>
                <w:tab w:val="left" w:pos="336"/>
              </w:tabs>
              <w:spacing w:line="240" w:lineRule="auto"/>
              <w:ind w:left="113" w:right="113"/>
              <w:jc w:val="left"/>
              <w:rPr>
                <w:color w:val="581D74" w:themeColor="accent1"/>
                <w:spacing w:val="-2"/>
                <w:sz w:val="16"/>
                <w:szCs w:val="16"/>
              </w:rPr>
            </w:pPr>
            <w:r w:rsidRPr="00811ECB">
              <w:rPr>
                <w:color w:val="581D74" w:themeColor="accent1"/>
                <w:spacing w:val="-2"/>
                <w:sz w:val="16"/>
                <w:szCs w:val="16"/>
              </w:rPr>
              <w:t>Retraitement de l’impact IFRIC 21</w:t>
            </w:r>
            <w:r w:rsidR="003C6574" w:rsidRPr="00811ECB">
              <w:rPr>
                <w:b/>
                <w:color w:val="581D74" w:themeColor="accent1"/>
                <w:spacing w:val="-2"/>
                <w:sz w:val="18"/>
                <w:szCs w:val="18"/>
                <w:vertAlign w:val="superscript"/>
              </w:rPr>
              <w:t>**</w:t>
            </w:r>
            <w:r w:rsidR="003C6574">
              <w:rPr>
                <w:b/>
                <w:color w:val="581D74" w:themeColor="accent1"/>
                <w:spacing w:val="-2"/>
                <w:sz w:val="18"/>
                <w:szCs w:val="18"/>
                <w:vertAlign w:val="superscript"/>
              </w:rPr>
              <w:t>*</w:t>
            </w:r>
            <w:r w:rsidRPr="00811ECB">
              <w:rPr>
                <w:color w:val="581D74" w:themeColor="accent1"/>
                <w:spacing w:val="-2"/>
                <w:sz w:val="16"/>
                <w:szCs w:val="16"/>
              </w:rPr>
              <w:t xml:space="preserve"> </w:t>
            </w:r>
          </w:p>
        </w:tc>
        <w:tc>
          <w:tcPr>
            <w:tcW w:w="1361" w:type="dxa"/>
            <w:shd w:val="clear" w:color="auto" w:fill="D9D9D9" w:themeFill="background1" w:themeFillShade="D9"/>
            <w:vAlign w:val="center"/>
          </w:tcPr>
          <w:p w:rsidR="006E3737" w:rsidRPr="00811ECB" w:rsidRDefault="00DF372D" w:rsidP="007A6AE1">
            <w:pPr>
              <w:tabs>
                <w:tab w:val="left" w:pos="336"/>
              </w:tabs>
              <w:spacing w:line="240" w:lineRule="auto"/>
              <w:ind w:right="113"/>
              <w:jc w:val="right"/>
              <w:rPr>
                <w:color w:val="581D74" w:themeColor="accent1"/>
                <w:spacing w:val="-2"/>
                <w:sz w:val="18"/>
                <w:szCs w:val="18"/>
              </w:rPr>
            </w:pPr>
            <w:r>
              <w:rPr>
                <w:color w:val="581D74" w:themeColor="accent1"/>
                <w:spacing w:val="-2"/>
                <w:sz w:val="18"/>
                <w:szCs w:val="18"/>
              </w:rPr>
              <w:t>135</w:t>
            </w:r>
          </w:p>
        </w:tc>
        <w:tc>
          <w:tcPr>
            <w:tcW w:w="1361" w:type="dxa"/>
            <w:vAlign w:val="center"/>
          </w:tcPr>
          <w:p w:rsidR="006E3737" w:rsidRPr="00811ECB" w:rsidRDefault="006E3737" w:rsidP="007A6AE1">
            <w:pPr>
              <w:tabs>
                <w:tab w:val="left" w:pos="336"/>
              </w:tabs>
              <w:spacing w:line="240" w:lineRule="auto"/>
              <w:ind w:right="113"/>
              <w:jc w:val="right"/>
              <w:rPr>
                <w:color w:val="581D74" w:themeColor="accent1"/>
                <w:spacing w:val="-2"/>
                <w:sz w:val="18"/>
                <w:szCs w:val="18"/>
              </w:rPr>
            </w:pPr>
          </w:p>
        </w:tc>
        <w:tc>
          <w:tcPr>
            <w:tcW w:w="113" w:type="dxa"/>
          </w:tcPr>
          <w:p w:rsidR="006E3737" w:rsidRPr="00811ECB" w:rsidRDefault="006E3737" w:rsidP="007A6AE1">
            <w:pPr>
              <w:tabs>
                <w:tab w:val="left" w:pos="336"/>
              </w:tabs>
              <w:spacing w:line="240" w:lineRule="auto"/>
              <w:rPr>
                <w:color w:val="581D74" w:themeColor="accent1"/>
                <w:spacing w:val="-2"/>
                <w:sz w:val="18"/>
                <w:szCs w:val="18"/>
              </w:rPr>
            </w:pPr>
          </w:p>
        </w:tc>
        <w:tc>
          <w:tcPr>
            <w:tcW w:w="1361" w:type="dxa"/>
            <w:shd w:val="clear" w:color="auto" w:fill="D9D9D9" w:themeFill="background1" w:themeFillShade="D9"/>
            <w:vAlign w:val="center"/>
          </w:tcPr>
          <w:p w:rsidR="006E3737" w:rsidRPr="00811ECB" w:rsidRDefault="007C7DB2" w:rsidP="007A6AE1">
            <w:pPr>
              <w:tabs>
                <w:tab w:val="left" w:pos="336"/>
              </w:tabs>
              <w:spacing w:line="240" w:lineRule="auto"/>
              <w:ind w:right="113"/>
              <w:jc w:val="right"/>
              <w:rPr>
                <w:color w:val="581D74" w:themeColor="accent1"/>
                <w:spacing w:val="-2"/>
                <w:sz w:val="18"/>
                <w:szCs w:val="18"/>
              </w:rPr>
            </w:pPr>
            <w:r>
              <w:rPr>
                <w:color w:val="581D74" w:themeColor="accent1"/>
                <w:spacing w:val="-2"/>
                <w:sz w:val="18"/>
                <w:szCs w:val="18"/>
              </w:rPr>
              <w:t>125</w:t>
            </w:r>
          </w:p>
        </w:tc>
        <w:tc>
          <w:tcPr>
            <w:tcW w:w="1361" w:type="dxa"/>
            <w:vAlign w:val="center"/>
          </w:tcPr>
          <w:p w:rsidR="006E3737" w:rsidRPr="00811ECB" w:rsidRDefault="006E3737" w:rsidP="007A6AE1">
            <w:pPr>
              <w:tabs>
                <w:tab w:val="left" w:pos="336"/>
              </w:tabs>
              <w:spacing w:line="240" w:lineRule="auto"/>
              <w:ind w:right="113"/>
              <w:jc w:val="right"/>
              <w:rPr>
                <w:color w:val="581D74" w:themeColor="accent1"/>
                <w:spacing w:val="-2"/>
                <w:sz w:val="18"/>
                <w:szCs w:val="18"/>
              </w:rPr>
            </w:pPr>
          </w:p>
        </w:tc>
      </w:tr>
      <w:tr w:rsidR="006E3737" w:rsidRPr="00A97BEA" w:rsidTr="00453D34">
        <w:trPr>
          <w:trHeight w:val="340"/>
        </w:trPr>
        <w:tc>
          <w:tcPr>
            <w:tcW w:w="4139" w:type="dxa"/>
            <w:tcBorders>
              <w:top w:val="single" w:sz="12" w:space="0" w:color="A778AE" w:themeColor="accent2"/>
            </w:tcBorders>
            <w:vAlign w:val="center"/>
          </w:tcPr>
          <w:p w:rsidR="006E3737" w:rsidRPr="00A97BEA" w:rsidRDefault="006E3737" w:rsidP="00FF0891">
            <w:pPr>
              <w:tabs>
                <w:tab w:val="left" w:pos="336"/>
              </w:tabs>
              <w:spacing w:line="240" w:lineRule="auto"/>
              <w:ind w:left="113" w:right="113"/>
              <w:jc w:val="left"/>
              <w:rPr>
                <w:b/>
                <w:color w:val="581D74" w:themeColor="accent1"/>
                <w:spacing w:val="-2"/>
                <w:sz w:val="18"/>
                <w:szCs w:val="18"/>
              </w:rPr>
            </w:pPr>
            <w:r w:rsidRPr="00A97BEA">
              <w:rPr>
                <w:b/>
                <w:color w:val="581D74" w:themeColor="accent1"/>
                <w:spacing w:val="-2"/>
                <w:sz w:val="18"/>
                <w:szCs w:val="18"/>
              </w:rPr>
              <w:t>Résultat net part du groupe</w:t>
            </w:r>
            <w:r w:rsidRPr="00CC0E7A">
              <w:rPr>
                <w:b/>
                <w:color w:val="581D74" w:themeColor="accent1"/>
                <w:spacing w:val="-2"/>
                <w:sz w:val="18"/>
                <w:szCs w:val="18"/>
                <w:vertAlign w:val="superscript"/>
              </w:rPr>
              <w:t>***</w:t>
            </w:r>
            <w:r w:rsidR="00DF372D">
              <w:rPr>
                <w:b/>
                <w:color w:val="581D74" w:themeColor="accent1"/>
                <w:spacing w:val="-2"/>
                <w:sz w:val="18"/>
                <w:szCs w:val="18"/>
                <w:vertAlign w:val="superscript"/>
              </w:rPr>
              <w:t>*</w:t>
            </w:r>
          </w:p>
        </w:tc>
        <w:tc>
          <w:tcPr>
            <w:tcW w:w="1361" w:type="dxa"/>
            <w:tcBorders>
              <w:top w:val="single" w:sz="12" w:space="0" w:color="A778AE" w:themeColor="accent2"/>
            </w:tcBorders>
            <w:shd w:val="clear" w:color="auto" w:fill="D9D9D9" w:themeFill="background1" w:themeFillShade="D9"/>
            <w:vAlign w:val="center"/>
          </w:tcPr>
          <w:p w:rsidR="006E3737" w:rsidRPr="00A97BEA" w:rsidRDefault="006E3737" w:rsidP="007A6AE1">
            <w:pPr>
              <w:tabs>
                <w:tab w:val="left" w:pos="336"/>
              </w:tabs>
              <w:spacing w:line="240" w:lineRule="auto"/>
              <w:ind w:right="113"/>
              <w:jc w:val="right"/>
              <w:rPr>
                <w:b/>
                <w:color w:val="581D74" w:themeColor="accent1"/>
                <w:spacing w:val="-2"/>
                <w:sz w:val="18"/>
                <w:szCs w:val="18"/>
              </w:rPr>
            </w:pPr>
            <w:r>
              <w:rPr>
                <w:b/>
                <w:color w:val="581D74" w:themeColor="accent1"/>
                <w:spacing w:val="-2"/>
                <w:sz w:val="18"/>
                <w:szCs w:val="18"/>
              </w:rPr>
              <w:t>1 006</w:t>
            </w:r>
          </w:p>
        </w:tc>
        <w:tc>
          <w:tcPr>
            <w:tcW w:w="1361" w:type="dxa"/>
            <w:tcBorders>
              <w:top w:val="single" w:sz="12" w:space="0" w:color="A778AE" w:themeColor="accent2"/>
            </w:tcBorders>
            <w:vAlign w:val="center"/>
          </w:tcPr>
          <w:p w:rsidR="006E3737" w:rsidRPr="00A97BEA" w:rsidRDefault="006E3737" w:rsidP="007A6AE1">
            <w:pPr>
              <w:tabs>
                <w:tab w:val="left" w:pos="336"/>
              </w:tabs>
              <w:spacing w:line="240" w:lineRule="auto"/>
              <w:ind w:right="113"/>
              <w:jc w:val="right"/>
              <w:rPr>
                <w:b/>
                <w:color w:val="581D74" w:themeColor="accent1"/>
                <w:spacing w:val="-2"/>
                <w:sz w:val="18"/>
                <w:szCs w:val="18"/>
              </w:rPr>
            </w:pPr>
            <w:r>
              <w:rPr>
                <w:b/>
                <w:color w:val="581D74" w:themeColor="accent1"/>
                <w:spacing w:val="-2"/>
                <w:sz w:val="18"/>
                <w:szCs w:val="18"/>
              </w:rPr>
              <w:t>+ 16,1</w:t>
            </w:r>
            <w:r w:rsidRPr="00A97BEA">
              <w:rPr>
                <w:b/>
                <w:color w:val="581D74" w:themeColor="accent1"/>
                <w:spacing w:val="-2"/>
                <w:sz w:val="18"/>
                <w:szCs w:val="18"/>
              </w:rPr>
              <w:t xml:space="preserve"> %</w:t>
            </w:r>
          </w:p>
        </w:tc>
        <w:tc>
          <w:tcPr>
            <w:tcW w:w="113" w:type="dxa"/>
          </w:tcPr>
          <w:p w:rsidR="006E3737" w:rsidRPr="00A97BEA" w:rsidRDefault="006E3737" w:rsidP="007A6AE1">
            <w:pPr>
              <w:tabs>
                <w:tab w:val="left" w:pos="336"/>
              </w:tabs>
              <w:spacing w:line="240" w:lineRule="auto"/>
              <w:rPr>
                <w:b/>
                <w:color w:val="581D74" w:themeColor="accent1"/>
                <w:spacing w:val="-2"/>
                <w:sz w:val="18"/>
                <w:szCs w:val="18"/>
              </w:rPr>
            </w:pPr>
          </w:p>
        </w:tc>
        <w:tc>
          <w:tcPr>
            <w:tcW w:w="1361" w:type="dxa"/>
            <w:tcBorders>
              <w:top w:val="single" w:sz="12" w:space="0" w:color="A778AE" w:themeColor="accent2"/>
            </w:tcBorders>
            <w:shd w:val="clear" w:color="auto" w:fill="D9D9D9" w:themeFill="background1" w:themeFillShade="D9"/>
            <w:vAlign w:val="center"/>
          </w:tcPr>
          <w:p w:rsidR="006E3737" w:rsidRPr="00A97BEA" w:rsidRDefault="006E3737" w:rsidP="007A6AE1">
            <w:pPr>
              <w:tabs>
                <w:tab w:val="left" w:pos="336"/>
              </w:tabs>
              <w:spacing w:line="240" w:lineRule="auto"/>
              <w:ind w:right="113"/>
              <w:jc w:val="right"/>
              <w:rPr>
                <w:b/>
                <w:color w:val="581D74" w:themeColor="accent1"/>
                <w:spacing w:val="-2"/>
                <w:sz w:val="18"/>
                <w:szCs w:val="18"/>
              </w:rPr>
            </w:pPr>
            <w:r>
              <w:rPr>
                <w:b/>
                <w:color w:val="581D74" w:themeColor="accent1"/>
                <w:spacing w:val="-2"/>
                <w:sz w:val="18"/>
                <w:szCs w:val="18"/>
              </w:rPr>
              <w:t>1</w:t>
            </w:r>
            <w:r w:rsidRPr="00A97BEA">
              <w:rPr>
                <w:b/>
                <w:color w:val="581D74" w:themeColor="accent1"/>
                <w:spacing w:val="-2"/>
                <w:sz w:val="18"/>
                <w:szCs w:val="18"/>
              </w:rPr>
              <w:t xml:space="preserve"> </w:t>
            </w:r>
            <w:r>
              <w:rPr>
                <w:b/>
                <w:color w:val="581D74" w:themeColor="accent1"/>
                <w:spacing w:val="-2"/>
                <w:sz w:val="18"/>
                <w:szCs w:val="18"/>
              </w:rPr>
              <w:t>020</w:t>
            </w:r>
          </w:p>
        </w:tc>
        <w:tc>
          <w:tcPr>
            <w:tcW w:w="1361" w:type="dxa"/>
            <w:tcBorders>
              <w:top w:val="single" w:sz="12" w:space="0" w:color="A778AE" w:themeColor="accent2"/>
            </w:tcBorders>
            <w:vAlign w:val="center"/>
          </w:tcPr>
          <w:p w:rsidR="006E3737" w:rsidRPr="00A97BEA" w:rsidRDefault="006E3737" w:rsidP="007A6AE1">
            <w:pPr>
              <w:tabs>
                <w:tab w:val="left" w:pos="336"/>
              </w:tabs>
              <w:spacing w:line="240" w:lineRule="auto"/>
              <w:ind w:right="113"/>
              <w:jc w:val="right"/>
              <w:rPr>
                <w:b/>
                <w:color w:val="581D74" w:themeColor="accent1"/>
                <w:spacing w:val="-2"/>
                <w:sz w:val="18"/>
                <w:szCs w:val="18"/>
              </w:rPr>
            </w:pPr>
            <w:r>
              <w:rPr>
                <w:b/>
                <w:color w:val="581D74" w:themeColor="accent1"/>
                <w:spacing w:val="-2"/>
                <w:sz w:val="18"/>
                <w:szCs w:val="18"/>
              </w:rPr>
              <w:t>+ 12,2</w:t>
            </w:r>
            <w:r w:rsidRPr="00A97BEA">
              <w:rPr>
                <w:b/>
                <w:color w:val="581D74" w:themeColor="accent1"/>
                <w:spacing w:val="-2"/>
                <w:sz w:val="18"/>
                <w:szCs w:val="18"/>
              </w:rPr>
              <w:t xml:space="preserve"> %</w:t>
            </w:r>
          </w:p>
        </w:tc>
      </w:tr>
      <w:tr w:rsidR="006E3737" w:rsidRPr="00A80C42" w:rsidTr="00453D34">
        <w:trPr>
          <w:trHeight w:val="340"/>
        </w:trPr>
        <w:tc>
          <w:tcPr>
            <w:tcW w:w="4139" w:type="dxa"/>
            <w:vAlign w:val="center"/>
          </w:tcPr>
          <w:p w:rsidR="006E3737" w:rsidRPr="009446BF" w:rsidRDefault="006E3737" w:rsidP="007A6AE1">
            <w:pPr>
              <w:tabs>
                <w:tab w:val="left" w:pos="336"/>
              </w:tabs>
              <w:spacing w:line="240" w:lineRule="auto"/>
              <w:ind w:left="113" w:right="113"/>
              <w:jc w:val="left"/>
              <w:rPr>
                <w:spacing w:val="-2"/>
                <w:sz w:val="18"/>
                <w:szCs w:val="18"/>
              </w:rPr>
            </w:pPr>
            <w:r>
              <w:rPr>
                <w:spacing w:val="-2"/>
                <w:sz w:val="18"/>
                <w:szCs w:val="18"/>
              </w:rPr>
              <w:t>Coefficient d’exploitation</w:t>
            </w:r>
            <w:r w:rsidRPr="00CC0E7A">
              <w:rPr>
                <w:spacing w:val="-2"/>
                <w:sz w:val="18"/>
                <w:szCs w:val="18"/>
                <w:vertAlign w:val="superscript"/>
              </w:rPr>
              <w:t>***</w:t>
            </w:r>
            <w:r w:rsidR="00DF372D">
              <w:rPr>
                <w:spacing w:val="-2"/>
                <w:sz w:val="18"/>
                <w:szCs w:val="18"/>
                <w:vertAlign w:val="superscript"/>
              </w:rPr>
              <w:t>*</w:t>
            </w:r>
          </w:p>
        </w:tc>
        <w:tc>
          <w:tcPr>
            <w:tcW w:w="1361" w:type="dxa"/>
            <w:shd w:val="clear" w:color="auto" w:fill="D9D9D9" w:themeFill="background1" w:themeFillShade="D9"/>
            <w:vAlign w:val="center"/>
          </w:tcPr>
          <w:p w:rsidR="006E3737" w:rsidRPr="009446BF" w:rsidRDefault="006E3737" w:rsidP="007A6AE1">
            <w:pPr>
              <w:tabs>
                <w:tab w:val="left" w:pos="336"/>
              </w:tabs>
              <w:spacing w:line="240" w:lineRule="auto"/>
              <w:ind w:right="113"/>
              <w:jc w:val="right"/>
              <w:rPr>
                <w:spacing w:val="-2"/>
                <w:sz w:val="18"/>
                <w:szCs w:val="18"/>
              </w:rPr>
            </w:pPr>
            <w:r>
              <w:rPr>
                <w:spacing w:val="-2"/>
                <w:sz w:val="18"/>
                <w:szCs w:val="18"/>
              </w:rPr>
              <w:t>64,1 %</w:t>
            </w:r>
          </w:p>
        </w:tc>
        <w:tc>
          <w:tcPr>
            <w:tcW w:w="1361" w:type="dxa"/>
            <w:vAlign w:val="center"/>
          </w:tcPr>
          <w:p w:rsidR="006E3737" w:rsidRPr="009446BF" w:rsidRDefault="006E3737" w:rsidP="007A6AE1">
            <w:pPr>
              <w:tabs>
                <w:tab w:val="left" w:pos="336"/>
              </w:tabs>
              <w:spacing w:line="240" w:lineRule="auto"/>
              <w:ind w:right="113"/>
              <w:jc w:val="right"/>
              <w:rPr>
                <w:spacing w:val="-2"/>
                <w:sz w:val="18"/>
                <w:szCs w:val="18"/>
              </w:rPr>
            </w:pPr>
            <w:r>
              <w:rPr>
                <w:spacing w:val="-2"/>
                <w:sz w:val="18"/>
                <w:szCs w:val="18"/>
              </w:rPr>
              <w:t>-3,3 pts</w:t>
            </w:r>
          </w:p>
        </w:tc>
        <w:tc>
          <w:tcPr>
            <w:tcW w:w="113" w:type="dxa"/>
          </w:tcPr>
          <w:p w:rsidR="006E3737" w:rsidRPr="009446BF" w:rsidRDefault="006E3737" w:rsidP="007A6AE1">
            <w:pPr>
              <w:tabs>
                <w:tab w:val="left" w:pos="336"/>
              </w:tabs>
              <w:spacing w:line="240" w:lineRule="auto"/>
              <w:rPr>
                <w:spacing w:val="-2"/>
                <w:sz w:val="18"/>
                <w:szCs w:val="18"/>
              </w:rPr>
            </w:pPr>
          </w:p>
        </w:tc>
        <w:tc>
          <w:tcPr>
            <w:tcW w:w="1361" w:type="dxa"/>
            <w:shd w:val="clear" w:color="auto" w:fill="D9D9D9" w:themeFill="background1" w:themeFillShade="D9"/>
            <w:vAlign w:val="center"/>
          </w:tcPr>
          <w:p w:rsidR="006E3737" w:rsidRPr="009446BF" w:rsidRDefault="006E3737" w:rsidP="007A6AE1">
            <w:pPr>
              <w:tabs>
                <w:tab w:val="left" w:pos="336"/>
              </w:tabs>
              <w:spacing w:line="240" w:lineRule="auto"/>
              <w:ind w:right="113"/>
              <w:jc w:val="right"/>
              <w:rPr>
                <w:spacing w:val="-2"/>
                <w:sz w:val="18"/>
                <w:szCs w:val="18"/>
              </w:rPr>
            </w:pPr>
            <w:r>
              <w:rPr>
                <w:spacing w:val="-2"/>
                <w:sz w:val="18"/>
                <w:szCs w:val="18"/>
              </w:rPr>
              <w:t>62,9 %</w:t>
            </w:r>
          </w:p>
        </w:tc>
        <w:tc>
          <w:tcPr>
            <w:tcW w:w="1361" w:type="dxa"/>
            <w:vAlign w:val="center"/>
          </w:tcPr>
          <w:p w:rsidR="006E3737" w:rsidRPr="009446BF" w:rsidRDefault="006E3737" w:rsidP="007A6AE1">
            <w:pPr>
              <w:tabs>
                <w:tab w:val="left" w:pos="336"/>
              </w:tabs>
              <w:spacing w:line="240" w:lineRule="auto"/>
              <w:ind w:right="113"/>
              <w:jc w:val="right"/>
              <w:rPr>
                <w:spacing w:val="-2"/>
                <w:sz w:val="18"/>
                <w:szCs w:val="18"/>
              </w:rPr>
            </w:pPr>
            <w:r>
              <w:rPr>
                <w:spacing w:val="-2"/>
                <w:sz w:val="18"/>
                <w:szCs w:val="18"/>
              </w:rPr>
              <w:t>-2,2 pts</w:t>
            </w:r>
          </w:p>
        </w:tc>
      </w:tr>
      <w:tr w:rsidR="006E3737" w:rsidRPr="00811ECB" w:rsidTr="00453D34">
        <w:trPr>
          <w:trHeight w:val="340"/>
        </w:trPr>
        <w:tc>
          <w:tcPr>
            <w:tcW w:w="4139" w:type="dxa"/>
            <w:tcBorders>
              <w:bottom w:val="single" w:sz="12" w:space="0" w:color="A778AE" w:themeColor="accent2"/>
            </w:tcBorders>
            <w:vAlign w:val="center"/>
          </w:tcPr>
          <w:p w:rsidR="006E3737" w:rsidRPr="00811ECB" w:rsidRDefault="006E3737" w:rsidP="007A6AE1">
            <w:pPr>
              <w:tabs>
                <w:tab w:val="left" w:pos="336"/>
              </w:tabs>
              <w:spacing w:line="240" w:lineRule="auto"/>
              <w:ind w:left="113" w:right="113"/>
              <w:jc w:val="left"/>
              <w:rPr>
                <w:spacing w:val="-2"/>
                <w:sz w:val="18"/>
                <w:szCs w:val="18"/>
              </w:rPr>
            </w:pPr>
            <w:r w:rsidRPr="00811ECB">
              <w:rPr>
                <w:spacing w:val="-2"/>
                <w:sz w:val="18"/>
                <w:szCs w:val="18"/>
              </w:rPr>
              <w:t>ROE</w:t>
            </w:r>
            <w:r w:rsidR="00460A89" w:rsidRPr="00A25990">
              <w:rPr>
                <w:spacing w:val="-2"/>
                <w:sz w:val="18"/>
                <w:szCs w:val="18"/>
                <w:vertAlign w:val="superscript"/>
              </w:rPr>
              <w:t>****</w:t>
            </w:r>
          </w:p>
        </w:tc>
        <w:tc>
          <w:tcPr>
            <w:tcW w:w="1361" w:type="dxa"/>
            <w:tcBorders>
              <w:bottom w:val="single" w:sz="12" w:space="0" w:color="A778AE" w:themeColor="accent2"/>
            </w:tcBorders>
            <w:shd w:val="clear" w:color="auto" w:fill="D9D9D9" w:themeFill="background1" w:themeFillShade="D9"/>
            <w:vAlign w:val="center"/>
          </w:tcPr>
          <w:p w:rsidR="006E3737" w:rsidRPr="00811ECB" w:rsidRDefault="006E3737" w:rsidP="007A6AE1">
            <w:pPr>
              <w:tabs>
                <w:tab w:val="left" w:pos="336"/>
              </w:tabs>
              <w:spacing w:line="240" w:lineRule="auto"/>
              <w:ind w:right="113"/>
              <w:jc w:val="right"/>
              <w:rPr>
                <w:spacing w:val="-2"/>
                <w:sz w:val="18"/>
                <w:szCs w:val="18"/>
              </w:rPr>
            </w:pPr>
            <w:r>
              <w:rPr>
                <w:spacing w:val="-2"/>
                <w:sz w:val="18"/>
                <w:szCs w:val="18"/>
              </w:rPr>
              <w:t>7</w:t>
            </w:r>
            <w:r w:rsidRPr="00811ECB">
              <w:rPr>
                <w:spacing w:val="-2"/>
                <w:sz w:val="18"/>
                <w:szCs w:val="18"/>
              </w:rPr>
              <w:t>,4 %</w:t>
            </w:r>
          </w:p>
        </w:tc>
        <w:tc>
          <w:tcPr>
            <w:tcW w:w="1361" w:type="dxa"/>
            <w:tcBorders>
              <w:bottom w:val="single" w:sz="12" w:space="0" w:color="A778AE" w:themeColor="accent2"/>
            </w:tcBorders>
            <w:vAlign w:val="center"/>
          </w:tcPr>
          <w:p w:rsidR="006E3737" w:rsidRPr="00811ECB" w:rsidRDefault="006E3737" w:rsidP="007A6AE1">
            <w:pPr>
              <w:tabs>
                <w:tab w:val="left" w:pos="336"/>
              </w:tabs>
              <w:spacing w:line="240" w:lineRule="auto"/>
              <w:ind w:right="113"/>
              <w:jc w:val="right"/>
              <w:rPr>
                <w:spacing w:val="-2"/>
                <w:sz w:val="18"/>
                <w:szCs w:val="18"/>
              </w:rPr>
            </w:pPr>
            <w:r>
              <w:rPr>
                <w:spacing w:val="-2"/>
                <w:sz w:val="18"/>
                <w:szCs w:val="18"/>
              </w:rPr>
              <w:t>+</w:t>
            </w:r>
            <w:r w:rsidRPr="00811ECB">
              <w:rPr>
                <w:spacing w:val="-2"/>
                <w:sz w:val="18"/>
                <w:szCs w:val="18"/>
              </w:rPr>
              <w:t xml:space="preserve"> </w:t>
            </w:r>
            <w:r>
              <w:rPr>
                <w:spacing w:val="-2"/>
                <w:sz w:val="18"/>
                <w:szCs w:val="18"/>
              </w:rPr>
              <w:t>0,7</w:t>
            </w:r>
            <w:r w:rsidRPr="00811ECB">
              <w:rPr>
                <w:spacing w:val="-2"/>
                <w:sz w:val="18"/>
                <w:szCs w:val="18"/>
              </w:rPr>
              <w:t xml:space="preserve"> pt</w:t>
            </w:r>
          </w:p>
        </w:tc>
        <w:tc>
          <w:tcPr>
            <w:tcW w:w="113" w:type="dxa"/>
          </w:tcPr>
          <w:p w:rsidR="006E3737" w:rsidRPr="00811ECB" w:rsidRDefault="006E3737" w:rsidP="007A6AE1">
            <w:pPr>
              <w:tabs>
                <w:tab w:val="left" w:pos="336"/>
              </w:tabs>
              <w:spacing w:line="240" w:lineRule="auto"/>
              <w:rPr>
                <w:spacing w:val="-2"/>
                <w:sz w:val="18"/>
                <w:szCs w:val="18"/>
              </w:rPr>
            </w:pPr>
          </w:p>
        </w:tc>
        <w:tc>
          <w:tcPr>
            <w:tcW w:w="1361" w:type="dxa"/>
            <w:tcBorders>
              <w:bottom w:val="single" w:sz="12" w:space="0" w:color="A778AE" w:themeColor="accent2"/>
            </w:tcBorders>
            <w:shd w:val="clear" w:color="auto" w:fill="D9D9D9" w:themeFill="background1" w:themeFillShade="D9"/>
            <w:vAlign w:val="center"/>
          </w:tcPr>
          <w:p w:rsidR="006E3737" w:rsidRPr="00811ECB" w:rsidRDefault="006E3737" w:rsidP="007A6AE1">
            <w:pPr>
              <w:tabs>
                <w:tab w:val="left" w:pos="336"/>
              </w:tabs>
              <w:spacing w:line="240" w:lineRule="auto"/>
              <w:ind w:right="113"/>
              <w:jc w:val="right"/>
              <w:rPr>
                <w:spacing w:val="-2"/>
                <w:sz w:val="18"/>
                <w:szCs w:val="18"/>
              </w:rPr>
            </w:pPr>
            <w:r>
              <w:rPr>
                <w:spacing w:val="-2"/>
                <w:sz w:val="18"/>
                <w:szCs w:val="18"/>
              </w:rPr>
              <w:t>11</w:t>
            </w:r>
            <w:r w:rsidRPr="00811ECB">
              <w:rPr>
                <w:spacing w:val="-2"/>
                <w:sz w:val="18"/>
                <w:szCs w:val="18"/>
              </w:rPr>
              <w:t xml:space="preserve"> %</w:t>
            </w:r>
          </w:p>
        </w:tc>
        <w:tc>
          <w:tcPr>
            <w:tcW w:w="1361" w:type="dxa"/>
            <w:tcBorders>
              <w:bottom w:val="single" w:sz="12" w:space="0" w:color="A778AE" w:themeColor="accent2"/>
            </w:tcBorders>
            <w:vAlign w:val="center"/>
          </w:tcPr>
          <w:p w:rsidR="006E3737" w:rsidRPr="00811ECB" w:rsidRDefault="006E3737" w:rsidP="007A6AE1">
            <w:pPr>
              <w:tabs>
                <w:tab w:val="left" w:pos="336"/>
              </w:tabs>
              <w:spacing w:line="240" w:lineRule="auto"/>
              <w:ind w:right="113"/>
              <w:jc w:val="right"/>
              <w:rPr>
                <w:spacing w:val="-2"/>
                <w:sz w:val="18"/>
                <w:szCs w:val="18"/>
              </w:rPr>
            </w:pPr>
            <w:r w:rsidRPr="00811ECB">
              <w:rPr>
                <w:spacing w:val="-2"/>
                <w:sz w:val="18"/>
                <w:szCs w:val="18"/>
              </w:rPr>
              <w:t>+ 1 pt</w:t>
            </w:r>
          </w:p>
        </w:tc>
      </w:tr>
      <w:tr w:rsidR="006E3737" w:rsidRPr="00A80C42" w:rsidTr="00453D34">
        <w:trPr>
          <w:trHeight w:val="227"/>
        </w:trPr>
        <w:tc>
          <w:tcPr>
            <w:tcW w:w="4139" w:type="dxa"/>
            <w:tcBorders>
              <w:top w:val="single" w:sz="12" w:space="0" w:color="A778AE" w:themeColor="accent2"/>
            </w:tcBorders>
            <w:vAlign w:val="center"/>
          </w:tcPr>
          <w:p w:rsidR="006E3737" w:rsidRPr="00A97BEA" w:rsidRDefault="006E3737" w:rsidP="007A6AE1">
            <w:pPr>
              <w:tabs>
                <w:tab w:val="left" w:pos="336"/>
              </w:tabs>
              <w:spacing w:line="240" w:lineRule="auto"/>
              <w:ind w:left="113" w:right="113"/>
              <w:jc w:val="left"/>
              <w:rPr>
                <w:color w:val="581D74" w:themeColor="accent1"/>
                <w:spacing w:val="-2"/>
                <w:sz w:val="16"/>
                <w:szCs w:val="16"/>
              </w:rPr>
            </w:pPr>
          </w:p>
        </w:tc>
        <w:tc>
          <w:tcPr>
            <w:tcW w:w="1361" w:type="dxa"/>
            <w:tcBorders>
              <w:top w:val="single" w:sz="12" w:space="0" w:color="A778AE" w:themeColor="accent2"/>
            </w:tcBorders>
            <w:shd w:val="clear" w:color="auto" w:fill="D9D9D9" w:themeFill="background1" w:themeFillShade="D9"/>
            <w:vAlign w:val="center"/>
          </w:tcPr>
          <w:p w:rsidR="006E3737" w:rsidRPr="00A97BEA" w:rsidRDefault="006E3737" w:rsidP="007A6AE1">
            <w:pPr>
              <w:tabs>
                <w:tab w:val="left" w:pos="336"/>
              </w:tabs>
              <w:spacing w:line="240" w:lineRule="auto"/>
              <w:ind w:right="113"/>
              <w:jc w:val="right"/>
              <w:rPr>
                <w:color w:val="581D74" w:themeColor="accent1"/>
                <w:spacing w:val="-2"/>
                <w:sz w:val="16"/>
                <w:szCs w:val="16"/>
              </w:rPr>
            </w:pPr>
          </w:p>
        </w:tc>
        <w:tc>
          <w:tcPr>
            <w:tcW w:w="1361" w:type="dxa"/>
            <w:tcBorders>
              <w:top w:val="single" w:sz="12" w:space="0" w:color="A778AE" w:themeColor="accent2"/>
            </w:tcBorders>
            <w:vAlign w:val="center"/>
          </w:tcPr>
          <w:p w:rsidR="006E3737" w:rsidRPr="00A97BEA" w:rsidRDefault="006E3737" w:rsidP="007A6AE1">
            <w:pPr>
              <w:tabs>
                <w:tab w:val="left" w:pos="336"/>
              </w:tabs>
              <w:spacing w:line="240" w:lineRule="auto"/>
              <w:ind w:right="113"/>
              <w:jc w:val="right"/>
              <w:rPr>
                <w:color w:val="581D74" w:themeColor="accent1"/>
                <w:spacing w:val="-2"/>
                <w:sz w:val="16"/>
                <w:szCs w:val="16"/>
              </w:rPr>
            </w:pPr>
          </w:p>
        </w:tc>
        <w:tc>
          <w:tcPr>
            <w:tcW w:w="113" w:type="dxa"/>
          </w:tcPr>
          <w:p w:rsidR="006E3737" w:rsidRPr="00A97BEA" w:rsidRDefault="006E3737" w:rsidP="007A6AE1">
            <w:pPr>
              <w:tabs>
                <w:tab w:val="left" w:pos="336"/>
              </w:tabs>
              <w:spacing w:line="240" w:lineRule="auto"/>
              <w:rPr>
                <w:color w:val="581D74" w:themeColor="accent1"/>
                <w:spacing w:val="-2"/>
                <w:sz w:val="16"/>
                <w:szCs w:val="16"/>
              </w:rPr>
            </w:pPr>
          </w:p>
        </w:tc>
        <w:tc>
          <w:tcPr>
            <w:tcW w:w="1361" w:type="dxa"/>
            <w:tcBorders>
              <w:top w:val="single" w:sz="12" w:space="0" w:color="A778AE" w:themeColor="accent2"/>
            </w:tcBorders>
            <w:shd w:val="clear" w:color="auto" w:fill="D9D9D9" w:themeFill="background1" w:themeFillShade="D9"/>
            <w:vAlign w:val="center"/>
          </w:tcPr>
          <w:p w:rsidR="006E3737" w:rsidRPr="00A97BEA" w:rsidRDefault="006E3737" w:rsidP="007A6AE1">
            <w:pPr>
              <w:tabs>
                <w:tab w:val="left" w:pos="336"/>
              </w:tabs>
              <w:spacing w:line="240" w:lineRule="auto"/>
              <w:ind w:right="113"/>
              <w:jc w:val="right"/>
              <w:rPr>
                <w:color w:val="581D74" w:themeColor="accent1"/>
                <w:spacing w:val="-2"/>
                <w:sz w:val="16"/>
                <w:szCs w:val="16"/>
              </w:rPr>
            </w:pPr>
          </w:p>
        </w:tc>
        <w:tc>
          <w:tcPr>
            <w:tcW w:w="1361" w:type="dxa"/>
            <w:tcBorders>
              <w:top w:val="single" w:sz="12" w:space="0" w:color="A778AE" w:themeColor="accent2"/>
            </w:tcBorders>
            <w:vAlign w:val="center"/>
          </w:tcPr>
          <w:p w:rsidR="006E3737" w:rsidRPr="00A97BEA" w:rsidRDefault="006E3737" w:rsidP="007A6AE1">
            <w:pPr>
              <w:tabs>
                <w:tab w:val="left" w:pos="336"/>
              </w:tabs>
              <w:spacing w:line="240" w:lineRule="auto"/>
              <w:ind w:right="113"/>
              <w:jc w:val="right"/>
              <w:rPr>
                <w:color w:val="581D74" w:themeColor="accent1"/>
                <w:spacing w:val="-2"/>
                <w:sz w:val="16"/>
                <w:szCs w:val="16"/>
              </w:rPr>
            </w:pPr>
          </w:p>
        </w:tc>
      </w:tr>
      <w:tr w:rsidR="006E3737" w:rsidRPr="00A80C42" w:rsidTr="007A6AE1">
        <w:trPr>
          <w:trHeight w:val="397"/>
        </w:trPr>
        <w:tc>
          <w:tcPr>
            <w:tcW w:w="4139" w:type="dxa"/>
            <w:vAlign w:val="center"/>
          </w:tcPr>
          <w:p w:rsidR="006E3737" w:rsidRPr="00D53FD6" w:rsidRDefault="006E3737" w:rsidP="006A27E4">
            <w:pPr>
              <w:tabs>
                <w:tab w:val="left" w:pos="336"/>
              </w:tabs>
              <w:spacing w:line="180" w:lineRule="exact"/>
              <w:ind w:left="113" w:right="113"/>
              <w:jc w:val="left"/>
              <w:rPr>
                <w:color w:val="581D74" w:themeColor="accent1"/>
                <w:spacing w:val="-2"/>
                <w:sz w:val="16"/>
                <w:szCs w:val="16"/>
              </w:rPr>
            </w:pPr>
            <w:r w:rsidRPr="00D53FD6">
              <w:rPr>
                <w:color w:val="581D74" w:themeColor="accent1"/>
                <w:spacing w:val="-2"/>
                <w:sz w:val="16"/>
                <w:szCs w:val="16"/>
              </w:rPr>
              <w:t>Impact en résultat net de la réévaluation de la dette propre</w:t>
            </w:r>
            <w:r w:rsidR="00E61617">
              <w:rPr>
                <w:color w:val="581D74" w:themeColor="accent1"/>
                <w:spacing w:val="-2"/>
                <w:sz w:val="16"/>
                <w:szCs w:val="16"/>
              </w:rPr>
              <w:t xml:space="preserve"> (pour Natixis et Crédit Foncier)</w:t>
            </w:r>
          </w:p>
        </w:tc>
        <w:tc>
          <w:tcPr>
            <w:tcW w:w="1361" w:type="dxa"/>
            <w:shd w:val="clear" w:color="auto" w:fill="D9D9D9" w:themeFill="background1" w:themeFillShade="D9"/>
            <w:vAlign w:val="center"/>
          </w:tcPr>
          <w:p w:rsidR="006E3737" w:rsidRPr="00D53FD6" w:rsidRDefault="006E3737" w:rsidP="007A6AE1">
            <w:pPr>
              <w:tabs>
                <w:tab w:val="left" w:pos="336"/>
              </w:tabs>
              <w:spacing w:line="240" w:lineRule="auto"/>
              <w:ind w:right="113"/>
              <w:jc w:val="right"/>
              <w:rPr>
                <w:color w:val="581D74" w:themeColor="accent1"/>
                <w:spacing w:val="-2"/>
                <w:sz w:val="16"/>
                <w:szCs w:val="16"/>
              </w:rPr>
            </w:pPr>
            <w:r>
              <w:rPr>
                <w:color w:val="581D74" w:themeColor="accent1"/>
                <w:spacing w:val="-2"/>
                <w:sz w:val="16"/>
                <w:szCs w:val="16"/>
              </w:rPr>
              <w:t>-6</w:t>
            </w:r>
          </w:p>
        </w:tc>
        <w:tc>
          <w:tcPr>
            <w:tcW w:w="1361" w:type="dxa"/>
            <w:vAlign w:val="center"/>
          </w:tcPr>
          <w:p w:rsidR="006E3737" w:rsidRPr="00D53FD6" w:rsidRDefault="006E3737" w:rsidP="007A6AE1">
            <w:pPr>
              <w:tabs>
                <w:tab w:val="left" w:pos="336"/>
              </w:tabs>
              <w:spacing w:line="240" w:lineRule="auto"/>
              <w:ind w:right="113"/>
              <w:jc w:val="right"/>
              <w:rPr>
                <w:color w:val="581D74" w:themeColor="accent1"/>
                <w:spacing w:val="-2"/>
                <w:sz w:val="16"/>
                <w:szCs w:val="16"/>
              </w:rPr>
            </w:pPr>
          </w:p>
        </w:tc>
        <w:tc>
          <w:tcPr>
            <w:tcW w:w="113" w:type="dxa"/>
          </w:tcPr>
          <w:p w:rsidR="006E3737" w:rsidRPr="00D53FD6" w:rsidRDefault="006E3737" w:rsidP="007A6AE1">
            <w:pPr>
              <w:tabs>
                <w:tab w:val="left" w:pos="336"/>
              </w:tabs>
              <w:spacing w:line="240" w:lineRule="auto"/>
              <w:rPr>
                <w:color w:val="581D74" w:themeColor="accent1"/>
                <w:spacing w:val="-2"/>
                <w:sz w:val="16"/>
                <w:szCs w:val="16"/>
              </w:rPr>
            </w:pPr>
          </w:p>
        </w:tc>
        <w:tc>
          <w:tcPr>
            <w:tcW w:w="1361" w:type="dxa"/>
            <w:shd w:val="clear" w:color="auto" w:fill="D9D9D9" w:themeFill="background1" w:themeFillShade="D9"/>
            <w:vAlign w:val="center"/>
          </w:tcPr>
          <w:p w:rsidR="006E3737" w:rsidRPr="00D53FD6" w:rsidRDefault="006E3737" w:rsidP="007A6AE1">
            <w:pPr>
              <w:tabs>
                <w:tab w:val="left" w:pos="336"/>
              </w:tabs>
              <w:spacing w:line="240" w:lineRule="auto"/>
              <w:ind w:right="113"/>
              <w:jc w:val="right"/>
              <w:rPr>
                <w:color w:val="581D74" w:themeColor="accent1"/>
                <w:spacing w:val="-2"/>
                <w:sz w:val="16"/>
                <w:szCs w:val="16"/>
              </w:rPr>
            </w:pPr>
          </w:p>
        </w:tc>
        <w:tc>
          <w:tcPr>
            <w:tcW w:w="1361" w:type="dxa"/>
            <w:vAlign w:val="center"/>
          </w:tcPr>
          <w:p w:rsidR="006E3737" w:rsidRPr="00D53FD6" w:rsidRDefault="006E3737" w:rsidP="007A6AE1">
            <w:pPr>
              <w:tabs>
                <w:tab w:val="left" w:pos="336"/>
              </w:tabs>
              <w:spacing w:line="240" w:lineRule="auto"/>
              <w:ind w:right="113"/>
              <w:jc w:val="right"/>
              <w:rPr>
                <w:color w:val="581D74" w:themeColor="accent1"/>
                <w:spacing w:val="-2"/>
                <w:sz w:val="16"/>
                <w:szCs w:val="16"/>
              </w:rPr>
            </w:pPr>
          </w:p>
        </w:tc>
      </w:tr>
      <w:tr w:rsidR="006E3737" w:rsidRPr="00A80C42" w:rsidTr="00453D34">
        <w:trPr>
          <w:trHeight w:val="510"/>
        </w:trPr>
        <w:tc>
          <w:tcPr>
            <w:tcW w:w="4139" w:type="dxa"/>
            <w:vAlign w:val="center"/>
          </w:tcPr>
          <w:p w:rsidR="006E3737" w:rsidRPr="00D53FD6" w:rsidRDefault="006E3737" w:rsidP="006A27E4">
            <w:pPr>
              <w:tabs>
                <w:tab w:val="left" w:pos="336"/>
              </w:tabs>
              <w:spacing w:line="180" w:lineRule="exact"/>
              <w:ind w:left="113" w:right="113"/>
              <w:jc w:val="left"/>
              <w:rPr>
                <w:color w:val="581D74" w:themeColor="accent1"/>
                <w:spacing w:val="-2"/>
                <w:sz w:val="16"/>
                <w:szCs w:val="16"/>
              </w:rPr>
            </w:pPr>
            <w:r w:rsidRPr="00D53FD6">
              <w:rPr>
                <w:color w:val="581D74" w:themeColor="accent1"/>
                <w:spacing w:val="-2"/>
                <w:sz w:val="16"/>
                <w:szCs w:val="16"/>
              </w:rPr>
              <w:t xml:space="preserve">Impact en résultat net du provisionnement </w:t>
            </w:r>
            <w:r w:rsidR="005547E2">
              <w:rPr>
                <w:color w:val="581D74" w:themeColor="accent1"/>
                <w:spacing w:val="-2"/>
                <w:sz w:val="16"/>
                <w:szCs w:val="16"/>
              </w:rPr>
              <w:br/>
            </w:r>
            <w:r w:rsidRPr="00D53FD6">
              <w:rPr>
                <w:color w:val="581D74" w:themeColor="accent1"/>
                <w:spacing w:val="-2"/>
                <w:sz w:val="16"/>
                <w:szCs w:val="16"/>
              </w:rPr>
              <w:t xml:space="preserve">sur </w:t>
            </w:r>
            <w:proofErr w:type="spellStart"/>
            <w:r w:rsidRPr="00D53FD6">
              <w:rPr>
                <w:color w:val="581D74" w:themeColor="accent1"/>
                <w:spacing w:val="-2"/>
                <w:sz w:val="16"/>
                <w:szCs w:val="16"/>
              </w:rPr>
              <w:t>Heta</w:t>
            </w:r>
            <w:proofErr w:type="spellEnd"/>
            <w:r w:rsidRPr="00D53FD6">
              <w:rPr>
                <w:color w:val="581D74" w:themeColor="accent1"/>
                <w:spacing w:val="-2"/>
                <w:sz w:val="16"/>
                <w:szCs w:val="16"/>
              </w:rPr>
              <w:t xml:space="preserve"> </w:t>
            </w:r>
            <w:proofErr w:type="spellStart"/>
            <w:r w:rsidRPr="00D53FD6">
              <w:rPr>
                <w:color w:val="581D74" w:themeColor="accent1"/>
                <w:spacing w:val="-2"/>
                <w:sz w:val="16"/>
                <w:szCs w:val="16"/>
              </w:rPr>
              <w:t>Asset</w:t>
            </w:r>
            <w:proofErr w:type="spellEnd"/>
            <w:r w:rsidRPr="00D53FD6">
              <w:rPr>
                <w:color w:val="581D74" w:themeColor="accent1"/>
                <w:spacing w:val="-2"/>
                <w:sz w:val="16"/>
                <w:szCs w:val="16"/>
              </w:rPr>
              <w:t xml:space="preserve"> </w:t>
            </w:r>
            <w:proofErr w:type="spellStart"/>
            <w:r w:rsidRPr="00D53FD6">
              <w:rPr>
                <w:color w:val="581D74" w:themeColor="accent1"/>
                <w:spacing w:val="-2"/>
                <w:sz w:val="16"/>
                <w:szCs w:val="16"/>
              </w:rPr>
              <w:t>Resolution</w:t>
            </w:r>
            <w:proofErr w:type="spellEnd"/>
            <w:r w:rsidRPr="00D53FD6">
              <w:rPr>
                <w:color w:val="581D74" w:themeColor="accent1"/>
                <w:spacing w:val="-2"/>
                <w:sz w:val="16"/>
                <w:szCs w:val="16"/>
              </w:rPr>
              <w:t xml:space="preserve"> AG</w:t>
            </w:r>
            <w:r w:rsidR="001124DB" w:rsidRPr="006A27E4">
              <w:rPr>
                <w:color w:val="581D74" w:themeColor="accent1"/>
                <w:spacing w:val="-2"/>
                <w:sz w:val="16"/>
                <w:szCs w:val="16"/>
                <w:vertAlign w:val="superscript"/>
              </w:rPr>
              <w:t>*****</w:t>
            </w:r>
          </w:p>
        </w:tc>
        <w:tc>
          <w:tcPr>
            <w:tcW w:w="1361" w:type="dxa"/>
            <w:shd w:val="clear" w:color="auto" w:fill="D9D9D9" w:themeFill="background1" w:themeFillShade="D9"/>
            <w:vAlign w:val="center"/>
          </w:tcPr>
          <w:p w:rsidR="006E3737" w:rsidRPr="00D53FD6" w:rsidRDefault="006E3737" w:rsidP="007A6AE1">
            <w:pPr>
              <w:tabs>
                <w:tab w:val="left" w:pos="336"/>
              </w:tabs>
              <w:spacing w:line="240" w:lineRule="auto"/>
              <w:ind w:right="113"/>
              <w:jc w:val="right"/>
              <w:rPr>
                <w:color w:val="581D74" w:themeColor="accent1"/>
                <w:spacing w:val="-2"/>
                <w:sz w:val="16"/>
                <w:szCs w:val="16"/>
              </w:rPr>
            </w:pPr>
            <w:r>
              <w:rPr>
                <w:color w:val="581D74" w:themeColor="accent1"/>
                <w:spacing w:val="-2"/>
                <w:sz w:val="16"/>
                <w:szCs w:val="16"/>
              </w:rPr>
              <w:t>-93</w:t>
            </w:r>
          </w:p>
        </w:tc>
        <w:tc>
          <w:tcPr>
            <w:tcW w:w="1361" w:type="dxa"/>
            <w:vAlign w:val="center"/>
          </w:tcPr>
          <w:p w:rsidR="006E3737" w:rsidRPr="00D53FD6" w:rsidRDefault="006E3737" w:rsidP="007A6AE1">
            <w:pPr>
              <w:tabs>
                <w:tab w:val="left" w:pos="336"/>
              </w:tabs>
              <w:spacing w:line="240" w:lineRule="auto"/>
              <w:ind w:right="113"/>
              <w:jc w:val="right"/>
              <w:rPr>
                <w:color w:val="581D74" w:themeColor="accent1"/>
                <w:spacing w:val="-2"/>
                <w:sz w:val="16"/>
                <w:szCs w:val="16"/>
              </w:rPr>
            </w:pPr>
          </w:p>
        </w:tc>
        <w:tc>
          <w:tcPr>
            <w:tcW w:w="113" w:type="dxa"/>
          </w:tcPr>
          <w:p w:rsidR="006E3737" w:rsidRPr="00D53FD6" w:rsidRDefault="006E3737" w:rsidP="007A6AE1">
            <w:pPr>
              <w:tabs>
                <w:tab w:val="left" w:pos="336"/>
              </w:tabs>
              <w:spacing w:line="240" w:lineRule="auto"/>
              <w:rPr>
                <w:color w:val="581D74" w:themeColor="accent1"/>
                <w:spacing w:val="-2"/>
                <w:sz w:val="16"/>
                <w:szCs w:val="16"/>
              </w:rPr>
            </w:pPr>
          </w:p>
        </w:tc>
        <w:tc>
          <w:tcPr>
            <w:tcW w:w="1361" w:type="dxa"/>
            <w:shd w:val="clear" w:color="auto" w:fill="D9D9D9" w:themeFill="background1" w:themeFillShade="D9"/>
            <w:vAlign w:val="center"/>
          </w:tcPr>
          <w:p w:rsidR="006E3737" w:rsidRPr="00D53FD6" w:rsidRDefault="006E3737" w:rsidP="007A6AE1">
            <w:pPr>
              <w:tabs>
                <w:tab w:val="left" w:pos="336"/>
              </w:tabs>
              <w:spacing w:line="240" w:lineRule="auto"/>
              <w:ind w:right="113"/>
              <w:jc w:val="right"/>
              <w:rPr>
                <w:color w:val="581D74" w:themeColor="accent1"/>
                <w:spacing w:val="-2"/>
                <w:sz w:val="16"/>
                <w:szCs w:val="16"/>
              </w:rPr>
            </w:pPr>
          </w:p>
        </w:tc>
        <w:tc>
          <w:tcPr>
            <w:tcW w:w="1361" w:type="dxa"/>
            <w:vAlign w:val="center"/>
          </w:tcPr>
          <w:p w:rsidR="006E3737" w:rsidRPr="00D53FD6" w:rsidRDefault="006E3737" w:rsidP="007A6AE1">
            <w:pPr>
              <w:tabs>
                <w:tab w:val="left" w:pos="336"/>
              </w:tabs>
              <w:spacing w:line="240" w:lineRule="auto"/>
              <w:ind w:right="113"/>
              <w:jc w:val="right"/>
              <w:rPr>
                <w:color w:val="581D74" w:themeColor="accent1"/>
                <w:spacing w:val="-2"/>
                <w:sz w:val="16"/>
                <w:szCs w:val="16"/>
              </w:rPr>
            </w:pPr>
          </w:p>
        </w:tc>
      </w:tr>
      <w:tr w:rsidR="006E3737" w:rsidRPr="00A80C42" w:rsidTr="00453D34">
        <w:trPr>
          <w:trHeight w:val="283"/>
        </w:trPr>
        <w:tc>
          <w:tcPr>
            <w:tcW w:w="4139" w:type="dxa"/>
            <w:vAlign w:val="center"/>
          </w:tcPr>
          <w:p w:rsidR="006E3737" w:rsidRPr="00D53FD6" w:rsidRDefault="006E3737" w:rsidP="007A6AE1">
            <w:pPr>
              <w:tabs>
                <w:tab w:val="left" w:pos="336"/>
              </w:tabs>
              <w:spacing w:line="240" w:lineRule="auto"/>
              <w:ind w:left="113" w:right="113"/>
              <w:jc w:val="left"/>
              <w:rPr>
                <w:color w:val="581D74" w:themeColor="accent1"/>
                <w:spacing w:val="-2"/>
                <w:sz w:val="16"/>
                <w:szCs w:val="16"/>
              </w:rPr>
            </w:pPr>
            <w:r w:rsidRPr="00D53FD6">
              <w:rPr>
                <w:color w:val="581D74" w:themeColor="accent1"/>
                <w:spacing w:val="-2"/>
                <w:sz w:val="16"/>
                <w:szCs w:val="16"/>
              </w:rPr>
              <w:t>Impact en résultat net de la contribution au FRU</w:t>
            </w:r>
          </w:p>
        </w:tc>
        <w:tc>
          <w:tcPr>
            <w:tcW w:w="1361" w:type="dxa"/>
            <w:shd w:val="clear" w:color="auto" w:fill="D9D9D9" w:themeFill="background1" w:themeFillShade="D9"/>
            <w:vAlign w:val="center"/>
          </w:tcPr>
          <w:p w:rsidR="006E3737" w:rsidRPr="00D53FD6" w:rsidRDefault="006E3737" w:rsidP="007A6AE1">
            <w:pPr>
              <w:tabs>
                <w:tab w:val="left" w:pos="336"/>
              </w:tabs>
              <w:spacing w:line="240" w:lineRule="auto"/>
              <w:ind w:right="113"/>
              <w:jc w:val="right"/>
              <w:rPr>
                <w:color w:val="581D74" w:themeColor="accent1"/>
                <w:spacing w:val="-2"/>
                <w:sz w:val="16"/>
                <w:szCs w:val="16"/>
              </w:rPr>
            </w:pPr>
            <w:r>
              <w:rPr>
                <w:color w:val="581D74" w:themeColor="accent1"/>
                <w:spacing w:val="-2"/>
                <w:sz w:val="16"/>
                <w:szCs w:val="16"/>
              </w:rPr>
              <w:t>-146</w:t>
            </w:r>
          </w:p>
        </w:tc>
        <w:tc>
          <w:tcPr>
            <w:tcW w:w="1361" w:type="dxa"/>
            <w:vAlign w:val="center"/>
          </w:tcPr>
          <w:p w:rsidR="006E3737" w:rsidRPr="00D53FD6" w:rsidRDefault="006E3737" w:rsidP="007A6AE1">
            <w:pPr>
              <w:tabs>
                <w:tab w:val="left" w:pos="336"/>
              </w:tabs>
              <w:spacing w:line="240" w:lineRule="auto"/>
              <w:ind w:right="113"/>
              <w:jc w:val="right"/>
              <w:rPr>
                <w:color w:val="581D74" w:themeColor="accent1"/>
                <w:spacing w:val="-2"/>
                <w:sz w:val="16"/>
                <w:szCs w:val="16"/>
              </w:rPr>
            </w:pPr>
          </w:p>
        </w:tc>
        <w:tc>
          <w:tcPr>
            <w:tcW w:w="113" w:type="dxa"/>
          </w:tcPr>
          <w:p w:rsidR="006E3737" w:rsidRPr="00D53FD6" w:rsidRDefault="006E3737" w:rsidP="007A6AE1">
            <w:pPr>
              <w:tabs>
                <w:tab w:val="left" w:pos="336"/>
              </w:tabs>
              <w:spacing w:line="240" w:lineRule="auto"/>
              <w:rPr>
                <w:color w:val="581D74" w:themeColor="accent1"/>
                <w:spacing w:val="-2"/>
                <w:sz w:val="16"/>
                <w:szCs w:val="16"/>
              </w:rPr>
            </w:pPr>
          </w:p>
        </w:tc>
        <w:tc>
          <w:tcPr>
            <w:tcW w:w="1361" w:type="dxa"/>
            <w:shd w:val="clear" w:color="auto" w:fill="D9D9D9" w:themeFill="background1" w:themeFillShade="D9"/>
            <w:vAlign w:val="center"/>
          </w:tcPr>
          <w:p w:rsidR="006E3737" w:rsidRPr="00D53FD6" w:rsidRDefault="006E3737" w:rsidP="007A6AE1">
            <w:pPr>
              <w:tabs>
                <w:tab w:val="left" w:pos="336"/>
              </w:tabs>
              <w:spacing w:line="240" w:lineRule="auto"/>
              <w:ind w:right="113"/>
              <w:jc w:val="right"/>
              <w:rPr>
                <w:color w:val="581D74" w:themeColor="accent1"/>
                <w:spacing w:val="-2"/>
                <w:sz w:val="16"/>
                <w:szCs w:val="16"/>
              </w:rPr>
            </w:pPr>
          </w:p>
        </w:tc>
        <w:tc>
          <w:tcPr>
            <w:tcW w:w="1361" w:type="dxa"/>
            <w:vAlign w:val="center"/>
          </w:tcPr>
          <w:p w:rsidR="006E3737" w:rsidRPr="00D53FD6" w:rsidRDefault="006E3737" w:rsidP="007A6AE1">
            <w:pPr>
              <w:tabs>
                <w:tab w:val="left" w:pos="336"/>
              </w:tabs>
              <w:spacing w:line="240" w:lineRule="auto"/>
              <w:ind w:right="113"/>
              <w:jc w:val="right"/>
              <w:rPr>
                <w:color w:val="581D74" w:themeColor="accent1"/>
                <w:spacing w:val="-2"/>
                <w:sz w:val="16"/>
                <w:szCs w:val="16"/>
              </w:rPr>
            </w:pPr>
          </w:p>
        </w:tc>
      </w:tr>
      <w:tr w:rsidR="006E3737" w:rsidRPr="00A80C42" w:rsidTr="00453D34">
        <w:trPr>
          <w:trHeight w:val="283"/>
        </w:trPr>
        <w:tc>
          <w:tcPr>
            <w:tcW w:w="4139" w:type="dxa"/>
            <w:tcBorders>
              <w:bottom w:val="single" w:sz="12" w:space="0" w:color="A778AE" w:themeColor="accent2"/>
            </w:tcBorders>
            <w:vAlign w:val="center"/>
          </w:tcPr>
          <w:p w:rsidR="006E3737" w:rsidRPr="006A27E4" w:rsidRDefault="006E3737" w:rsidP="007A6AE1">
            <w:pPr>
              <w:tabs>
                <w:tab w:val="left" w:pos="336"/>
              </w:tabs>
              <w:spacing w:line="240" w:lineRule="auto"/>
              <w:ind w:left="113" w:right="113"/>
              <w:jc w:val="left"/>
              <w:rPr>
                <w:color w:val="581D74" w:themeColor="accent1"/>
                <w:spacing w:val="-4"/>
                <w:sz w:val="16"/>
                <w:szCs w:val="16"/>
              </w:rPr>
            </w:pPr>
            <w:r w:rsidRPr="006A27E4">
              <w:rPr>
                <w:color w:val="581D74" w:themeColor="accent1"/>
                <w:spacing w:val="-4"/>
                <w:sz w:val="16"/>
                <w:szCs w:val="16"/>
              </w:rPr>
              <w:t>Réintégration de l’impact IFRIC 21 en résultat</w:t>
            </w:r>
            <w:r w:rsidR="005547E2" w:rsidRPr="006A27E4">
              <w:rPr>
                <w:color w:val="581D74" w:themeColor="accent1"/>
                <w:spacing w:val="-4"/>
                <w:sz w:val="16"/>
                <w:szCs w:val="16"/>
              </w:rPr>
              <w:t xml:space="preserve"> </w:t>
            </w:r>
            <w:r w:rsidRPr="006A27E4">
              <w:rPr>
                <w:color w:val="581D74" w:themeColor="accent1"/>
                <w:spacing w:val="-4"/>
                <w:sz w:val="16"/>
                <w:szCs w:val="16"/>
              </w:rPr>
              <w:t>net</w:t>
            </w:r>
            <w:r w:rsidR="003C6574" w:rsidRPr="00811ECB">
              <w:rPr>
                <w:b/>
                <w:color w:val="581D74" w:themeColor="accent1"/>
                <w:spacing w:val="-2"/>
                <w:sz w:val="18"/>
                <w:szCs w:val="18"/>
                <w:vertAlign w:val="superscript"/>
              </w:rPr>
              <w:t>**</w:t>
            </w:r>
            <w:r w:rsidR="003C6574">
              <w:rPr>
                <w:b/>
                <w:color w:val="581D74" w:themeColor="accent1"/>
                <w:spacing w:val="-2"/>
                <w:sz w:val="18"/>
                <w:szCs w:val="18"/>
                <w:vertAlign w:val="superscript"/>
              </w:rPr>
              <w:t>*</w:t>
            </w:r>
          </w:p>
        </w:tc>
        <w:tc>
          <w:tcPr>
            <w:tcW w:w="1361" w:type="dxa"/>
            <w:tcBorders>
              <w:bottom w:val="single" w:sz="12" w:space="0" w:color="A778AE" w:themeColor="accent2"/>
            </w:tcBorders>
            <w:shd w:val="clear" w:color="auto" w:fill="D9D9D9" w:themeFill="background1" w:themeFillShade="D9"/>
            <w:vAlign w:val="center"/>
          </w:tcPr>
          <w:p w:rsidR="006E3737" w:rsidRPr="00D53FD6" w:rsidRDefault="006E3737" w:rsidP="007A6AE1">
            <w:pPr>
              <w:tabs>
                <w:tab w:val="left" w:pos="336"/>
              </w:tabs>
              <w:spacing w:line="240" w:lineRule="auto"/>
              <w:ind w:right="113"/>
              <w:jc w:val="right"/>
              <w:rPr>
                <w:color w:val="581D74" w:themeColor="accent1"/>
                <w:spacing w:val="-2"/>
                <w:sz w:val="16"/>
                <w:szCs w:val="16"/>
              </w:rPr>
            </w:pPr>
            <w:r w:rsidRPr="00D53FD6">
              <w:rPr>
                <w:color w:val="581D74" w:themeColor="accent1"/>
                <w:spacing w:val="-2"/>
                <w:sz w:val="16"/>
                <w:szCs w:val="16"/>
              </w:rPr>
              <w:t xml:space="preserve">- </w:t>
            </w:r>
            <w:r>
              <w:rPr>
                <w:color w:val="581D74" w:themeColor="accent1"/>
                <w:spacing w:val="-2"/>
                <w:sz w:val="16"/>
                <w:szCs w:val="16"/>
              </w:rPr>
              <w:t>135</w:t>
            </w:r>
          </w:p>
        </w:tc>
        <w:tc>
          <w:tcPr>
            <w:tcW w:w="1361" w:type="dxa"/>
            <w:tcBorders>
              <w:bottom w:val="single" w:sz="12" w:space="0" w:color="A778AE" w:themeColor="accent2"/>
            </w:tcBorders>
            <w:vAlign w:val="center"/>
          </w:tcPr>
          <w:p w:rsidR="006E3737" w:rsidRPr="00D53FD6" w:rsidRDefault="006E3737" w:rsidP="007A6AE1">
            <w:pPr>
              <w:tabs>
                <w:tab w:val="left" w:pos="336"/>
              </w:tabs>
              <w:spacing w:line="240" w:lineRule="auto"/>
              <w:ind w:right="113"/>
              <w:jc w:val="right"/>
              <w:rPr>
                <w:color w:val="581D74" w:themeColor="accent1"/>
                <w:spacing w:val="-2"/>
                <w:sz w:val="16"/>
                <w:szCs w:val="16"/>
              </w:rPr>
            </w:pPr>
          </w:p>
        </w:tc>
        <w:tc>
          <w:tcPr>
            <w:tcW w:w="113" w:type="dxa"/>
          </w:tcPr>
          <w:p w:rsidR="006E3737" w:rsidRPr="00D53FD6" w:rsidRDefault="006E3737" w:rsidP="007A6AE1">
            <w:pPr>
              <w:tabs>
                <w:tab w:val="left" w:pos="336"/>
              </w:tabs>
              <w:spacing w:line="240" w:lineRule="auto"/>
              <w:rPr>
                <w:color w:val="581D74" w:themeColor="accent1"/>
                <w:spacing w:val="-2"/>
                <w:sz w:val="16"/>
                <w:szCs w:val="16"/>
              </w:rPr>
            </w:pPr>
          </w:p>
        </w:tc>
        <w:tc>
          <w:tcPr>
            <w:tcW w:w="1361" w:type="dxa"/>
            <w:tcBorders>
              <w:bottom w:val="single" w:sz="12" w:space="0" w:color="A778AE" w:themeColor="accent2"/>
            </w:tcBorders>
            <w:shd w:val="clear" w:color="auto" w:fill="D9D9D9" w:themeFill="background1" w:themeFillShade="D9"/>
            <w:vAlign w:val="center"/>
          </w:tcPr>
          <w:p w:rsidR="006E3737" w:rsidRPr="00D53FD6" w:rsidRDefault="006E3737" w:rsidP="007A6AE1">
            <w:pPr>
              <w:tabs>
                <w:tab w:val="left" w:pos="336"/>
              </w:tabs>
              <w:spacing w:line="240" w:lineRule="auto"/>
              <w:ind w:right="113"/>
              <w:jc w:val="right"/>
              <w:rPr>
                <w:color w:val="581D74" w:themeColor="accent1"/>
                <w:spacing w:val="-2"/>
                <w:sz w:val="16"/>
                <w:szCs w:val="16"/>
              </w:rPr>
            </w:pPr>
            <w:r w:rsidRPr="00D53FD6">
              <w:rPr>
                <w:color w:val="581D74" w:themeColor="accent1"/>
                <w:spacing w:val="-2"/>
                <w:sz w:val="16"/>
                <w:szCs w:val="16"/>
              </w:rPr>
              <w:t xml:space="preserve">- </w:t>
            </w:r>
            <w:r>
              <w:rPr>
                <w:color w:val="581D74" w:themeColor="accent1"/>
                <w:spacing w:val="-2"/>
                <w:sz w:val="16"/>
                <w:szCs w:val="16"/>
              </w:rPr>
              <w:t>125</w:t>
            </w:r>
          </w:p>
        </w:tc>
        <w:tc>
          <w:tcPr>
            <w:tcW w:w="1361" w:type="dxa"/>
            <w:tcBorders>
              <w:bottom w:val="single" w:sz="12" w:space="0" w:color="A778AE" w:themeColor="accent2"/>
            </w:tcBorders>
            <w:vAlign w:val="center"/>
          </w:tcPr>
          <w:p w:rsidR="006E3737" w:rsidRPr="00D53FD6" w:rsidRDefault="006E3737" w:rsidP="007A6AE1">
            <w:pPr>
              <w:tabs>
                <w:tab w:val="left" w:pos="336"/>
              </w:tabs>
              <w:spacing w:line="240" w:lineRule="auto"/>
              <w:ind w:right="113"/>
              <w:jc w:val="right"/>
              <w:rPr>
                <w:color w:val="581D74" w:themeColor="accent1"/>
                <w:spacing w:val="-2"/>
                <w:sz w:val="16"/>
                <w:szCs w:val="16"/>
              </w:rPr>
            </w:pPr>
          </w:p>
        </w:tc>
      </w:tr>
      <w:tr w:rsidR="006E3737" w:rsidRPr="00A80C42" w:rsidTr="007A6AE1">
        <w:trPr>
          <w:trHeight w:val="510"/>
        </w:trPr>
        <w:tc>
          <w:tcPr>
            <w:tcW w:w="4139" w:type="dxa"/>
            <w:tcBorders>
              <w:top w:val="single" w:sz="12" w:space="0" w:color="A778AE" w:themeColor="accent2"/>
              <w:bottom w:val="single" w:sz="12" w:space="0" w:color="A778AE" w:themeColor="accent2"/>
            </w:tcBorders>
            <w:vAlign w:val="center"/>
          </w:tcPr>
          <w:p w:rsidR="006E3737" w:rsidRPr="00AA12BF" w:rsidRDefault="006E3737" w:rsidP="007A6AE1">
            <w:pPr>
              <w:tabs>
                <w:tab w:val="left" w:pos="336"/>
              </w:tabs>
              <w:spacing w:line="240" w:lineRule="auto"/>
              <w:ind w:left="113" w:right="113"/>
              <w:jc w:val="left"/>
              <w:rPr>
                <w:b/>
                <w:spacing w:val="-2"/>
                <w:sz w:val="18"/>
                <w:szCs w:val="18"/>
              </w:rPr>
            </w:pPr>
            <w:r w:rsidRPr="00AA12BF">
              <w:rPr>
                <w:b/>
                <w:spacing w:val="-2"/>
                <w:sz w:val="18"/>
                <w:szCs w:val="18"/>
              </w:rPr>
              <w:t>Résultat net part du groupe</w:t>
            </w:r>
            <w:r w:rsidR="00DB5267">
              <w:rPr>
                <w:b/>
                <w:spacing w:val="-2"/>
                <w:sz w:val="18"/>
                <w:szCs w:val="18"/>
              </w:rPr>
              <w:t xml:space="preserve"> publié</w:t>
            </w:r>
          </w:p>
        </w:tc>
        <w:tc>
          <w:tcPr>
            <w:tcW w:w="1361" w:type="dxa"/>
            <w:tcBorders>
              <w:top w:val="single" w:sz="12" w:space="0" w:color="A778AE" w:themeColor="accent2"/>
              <w:bottom w:val="single" w:sz="12" w:space="0" w:color="A778AE" w:themeColor="accent2"/>
            </w:tcBorders>
            <w:shd w:val="clear" w:color="auto" w:fill="D9D9D9" w:themeFill="background1" w:themeFillShade="D9"/>
            <w:vAlign w:val="center"/>
          </w:tcPr>
          <w:p w:rsidR="006E3737" w:rsidRPr="00AA12BF" w:rsidRDefault="006E3737" w:rsidP="007A6AE1">
            <w:pPr>
              <w:tabs>
                <w:tab w:val="left" w:pos="336"/>
              </w:tabs>
              <w:spacing w:line="240" w:lineRule="auto"/>
              <w:ind w:right="113"/>
              <w:jc w:val="right"/>
              <w:rPr>
                <w:b/>
                <w:spacing w:val="-2"/>
                <w:sz w:val="18"/>
                <w:szCs w:val="18"/>
              </w:rPr>
            </w:pPr>
            <w:r>
              <w:rPr>
                <w:b/>
                <w:spacing w:val="-2"/>
                <w:sz w:val="18"/>
                <w:szCs w:val="18"/>
              </w:rPr>
              <w:t>626</w:t>
            </w:r>
          </w:p>
        </w:tc>
        <w:tc>
          <w:tcPr>
            <w:tcW w:w="1361" w:type="dxa"/>
            <w:tcBorders>
              <w:top w:val="single" w:sz="12" w:space="0" w:color="A778AE" w:themeColor="accent2"/>
              <w:bottom w:val="single" w:sz="12" w:space="0" w:color="A778AE" w:themeColor="accent2"/>
            </w:tcBorders>
            <w:vAlign w:val="center"/>
          </w:tcPr>
          <w:p w:rsidR="006E3737" w:rsidRPr="00AA12BF" w:rsidRDefault="006E3737" w:rsidP="007A6AE1">
            <w:pPr>
              <w:tabs>
                <w:tab w:val="left" w:pos="336"/>
              </w:tabs>
              <w:spacing w:line="240" w:lineRule="auto"/>
              <w:ind w:right="113"/>
              <w:jc w:val="right"/>
              <w:rPr>
                <w:b/>
                <w:spacing w:val="-2"/>
                <w:sz w:val="18"/>
                <w:szCs w:val="18"/>
              </w:rPr>
            </w:pPr>
            <w:r>
              <w:rPr>
                <w:b/>
                <w:spacing w:val="-2"/>
                <w:sz w:val="18"/>
                <w:szCs w:val="18"/>
              </w:rPr>
              <w:t>-14,9 %</w:t>
            </w:r>
          </w:p>
        </w:tc>
        <w:tc>
          <w:tcPr>
            <w:tcW w:w="113" w:type="dxa"/>
          </w:tcPr>
          <w:p w:rsidR="006E3737" w:rsidRPr="00AA12BF" w:rsidRDefault="006E3737" w:rsidP="007A6AE1">
            <w:pPr>
              <w:tabs>
                <w:tab w:val="left" w:pos="336"/>
              </w:tabs>
              <w:spacing w:line="240" w:lineRule="auto"/>
              <w:rPr>
                <w:b/>
                <w:spacing w:val="-2"/>
                <w:sz w:val="18"/>
                <w:szCs w:val="18"/>
              </w:rPr>
            </w:pPr>
          </w:p>
        </w:tc>
        <w:tc>
          <w:tcPr>
            <w:tcW w:w="1361" w:type="dxa"/>
            <w:tcBorders>
              <w:top w:val="single" w:sz="12" w:space="0" w:color="A778AE" w:themeColor="accent2"/>
              <w:bottom w:val="single" w:sz="12" w:space="0" w:color="A778AE" w:themeColor="accent2"/>
            </w:tcBorders>
            <w:shd w:val="clear" w:color="auto" w:fill="D9D9D9" w:themeFill="background1" w:themeFillShade="D9"/>
            <w:vAlign w:val="center"/>
          </w:tcPr>
          <w:p w:rsidR="006E3737" w:rsidRPr="00AA12BF" w:rsidRDefault="006E3737" w:rsidP="007A6AE1">
            <w:pPr>
              <w:tabs>
                <w:tab w:val="left" w:pos="336"/>
              </w:tabs>
              <w:spacing w:line="240" w:lineRule="auto"/>
              <w:ind w:right="113"/>
              <w:jc w:val="right"/>
              <w:rPr>
                <w:b/>
                <w:spacing w:val="-2"/>
                <w:sz w:val="18"/>
                <w:szCs w:val="18"/>
              </w:rPr>
            </w:pPr>
            <w:r>
              <w:rPr>
                <w:b/>
                <w:spacing w:val="-2"/>
                <w:sz w:val="18"/>
                <w:szCs w:val="18"/>
              </w:rPr>
              <w:t>895</w:t>
            </w:r>
          </w:p>
        </w:tc>
        <w:tc>
          <w:tcPr>
            <w:tcW w:w="1361" w:type="dxa"/>
            <w:tcBorders>
              <w:top w:val="single" w:sz="12" w:space="0" w:color="A778AE" w:themeColor="accent2"/>
              <w:bottom w:val="single" w:sz="12" w:space="0" w:color="A778AE" w:themeColor="accent2"/>
            </w:tcBorders>
            <w:vAlign w:val="center"/>
          </w:tcPr>
          <w:p w:rsidR="006E3737" w:rsidRPr="00AA12BF" w:rsidRDefault="006E3737" w:rsidP="007A6AE1">
            <w:pPr>
              <w:tabs>
                <w:tab w:val="left" w:pos="336"/>
              </w:tabs>
              <w:spacing w:line="240" w:lineRule="auto"/>
              <w:ind w:right="113"/>
              <w:jc w:val="right"/>
              <w:rPr>
                <w:b/>
                <w:spacing w:val="-2"/>
                <w:sz w:val="18"/>
                <w:szCs w:val="18"/>
              </w:rPr>
            </w:pPr>
            <w:r>
              <w:rPr>
                <w:b/>
                <w:spacing w:val="-2"/>
                <w:sz w:val="18"/>
                <w:szCs w:val="18"/>
              </w:rPr>
              <w:t>+ 13</w:t>
            </w:r>
            <w:r w:rsidRPr="00AA12BF">
              <w:rPr>
                <w:b/>
                <w:spacing w:val="-2"/>
                <w:sz w:val="18"/>
                <w:szCs w:val="18"/>
              </w:rPr>
              <w:t>,8 %</w:t>
            </w:r>
          </w:p>
        </w:tc>
      </w:tr>
    </w:tbl>
    <w:p w:rsidR="006E3737" w:rsidRDefault="006E3737" w:rsidP="006E3737">
      <w:pPr>
        <w:tabs>
          <w:tab w:val="left" w:pos="426"/>
        </w:tabs>
        <w:jc w:val="left"/>
        <w:rPr>
          <w:color w:val="FF0000"/>
          <w:sz w:val="16"/>
          <w:szCs w:val="16"/>
        </w:rPr>
      </w:pPr>
    </w:p>
    <w:p w:rsidR="006E3737" w:rsidRDefault="006E3737" w:rsidP="006E3737">
      <w:pPr>
        <w:tabs>
          <w:tab w:val="left" w:pos="336"/>
        </w:tabs>
        <w:ind w:left="330" w:hanging="330"/>
        <w:rPr>
          <w:sz w:val="14"/>
          <w:szCs w:val="14"/>
        </w:rPr>
      </w:pPr>
    </w:p>
    <w:p w:rsidR="006E3737" w:rsidRPr="007A60E2" w:rsidRDefault="006E3737" w:rsidP="006E3737">
      <w:pPr>
        <w:tabs>
          <w:tab w:val="left" w:pos="336"/>
        </w:tabs>
        <w:ind w:left="330" w:hanging="330"/>
        <w:rPr>
          <w:color w:val="581D74" w:themeColor="accent1"/>
          <w:sz w:val="14"/>
          <w:szCs w:val="14"/>
        </w:rPr>
      </w:pPr>
    </w:p>
    <w:p w:rsidR="006E3737" w:rsidRDefault="006E3737" w:rsidP="006E3737">
      <w:pPr>
        <w:tabs>
          <w:tab w:val="left" w:pos="336"/>
        </w:tabs>
        <w:ind w:left="330" w:hanging="330"/>
        <w:rPr>
          <w:color w:val="581D74" w:themeColor="accent1"/>
          <w:sz w:val="14"/>
          <w:szCs w:val="14"/>
        </w:rPr>
      </w:pPr>
      <w:r w:rsidRPr="007A60E2">
        <w:rPr>
          <w:color w:val="581D74" w:themeColor="accent1"/>
          <w:sz w:val="14"/>
          <w:szCs w:val="14"/>
          <w:vertAlign w:val="superscript"/>
        </w:rPr>
        <w:t>*</w:t>
      </w:r>
      <w:r w:rsidRPr="007A60E2">
        <w:rPr>
          <w:color w:val="581D74" w:themeColor="accent1"/>
          <w:sz w:val="14"/>
          <w:szCs w:val="14"/>
        </w:rPr>
        <w:tab/>
      </w:r>
      <w:r w:rsidR="00DF372D">
        <w:rPr>
          <w:color w:val="581D74" w:themeColor="accent1"/>
          <w:sz w:val="14"/>
          <w:szCs w:val="14"/>
        </w:rPr>
        <w:t>T1-14 pro forma,</w:t>
      </w:r>
      <w:r>
        <w:rPr>
          <w:color w:val="581D74" w:themeColor="accent1"/>
          <w:sz w:val="14"/>
          <w:szCs w:val="14"/>
        </w:rPr>
        <w:t xml:space="preserve"> </w:t>
      </w:r>
      <w:r w:rsidR="00460A89">
        <w:rPr>
          <w:color w:val="581D74" w:themeColor="accent1"/>
          <w:sz w:val="14"/>
          <w:szCs w:val="14"/>
        </w:rPr>
        <w:t>se reporter à la</w:t>
      </w:r>
      <w:r>
        <w:rPr>
          <w:color w:val="581D74" w:themeColor="accent1"/>
          <w:sz w:val="14"/>
          <w:szCs w:val="14"/>
        </w:rPr>
        <w:t xml:space="preserve"> note méthodologique à la fin de ce communiqué de presse</w:t>
      </w:r>
    </w:p>
    <w:p w:rsidR="00DF372D" w:rsidRDefault="006E3737" w:rsidP="006E3737">
      <w:pPr>
        <w:tabs>
          <w:tab w:val="left" w:pos="336"/>
        </w:tabs>
        <w:ind w:left="330" w:hanging="330"/>
        <w:rPr>
          <w:color w:val="581D74" w:themeColor="accent1"/>
          <w:sz w:val="14"/>
          <w:szCs w:val="14"/>
        </w:rPr>
      </w:pPr>
      <w:r w:rsidRPr="00CC0E7A">
        <w:rPr>
          <w:color w:val="581D74" w:themeColor="accent1"/>
          <w:sz w:val="14"/>
          <w:szCs w:val="14"/>
          <w:vertAlign w:val="superscript"/>
        </w:rPr>
        <w:t>**</w:t>
      </w:r>
      <w:r>
        <w:rPr>
          <w:color w:val="581D74" w:themeColor="accent1"/>
          <w:sz w:val="14"/>
          <w:szCs w:val="14"/>
        </w:rPr>
        <w:t xml:space="preserve"> </w:t>
      </w:r>
      <w:r>
        <w:rPr>
          <w:color w:val="581D74" w:themeColor="accent1"/>
          <w:sz w:val="14"/>
          <w:szCs w:val="14"/>
        </w:rPr>
        <w:tab/>
      </w:r>
      <w:r w:rsidR="00DF372D" w:rsidRPr="007A60E2">
        <w:rPr>
          <w:color w:val="581D74" w:themeColor="accent1"/>
          <w:sz w:val="14"/>
          <w:szCs w:val="14"/>
        </w:rPr>
        <w:t xml:space="preserve">Les métiers cœurs sont la Banque commerciale et Assurance (avec notamment les réseaux Banque Populaire et Caisse d’Epargne </w:t>
      </w:r>
      <w:r w:rsidR="00DF372D" w:rsidRPr="007A60E2">
        <w:rPr>
          <w:color w:val="581D74" w:themeColor="accent1"/>
          <w:sz w:val="14"/>
          <w:szCs w:val="14"/>
        </w:rPr>
        <w:tab/>
        <w:t xml:space="preserve">ainsi que le Crédit Foncier, la Banque Palatine et BPCE International et Outre-mer), la Banque de Grande Clientèle, l’Épargne et </w:t>
      </w:r>
      <w:r w:rsidR="00DF372D" w:rsidRPr="007A60E2">
        <w:rPr>
          <w:color w:val="581D74" w:themeColor="accent1"/>
          <w:sz w:val="14"/>
          <w:szCs w:val="14"/>
        </w:rPr>
        <w:tab/>
        <w:t>les Services Financiers Spécialisés (Natixis)</w:t>
      </w:r>
      <w:r w:rsidR="00DF372D" w:rsidRPr="00477008">
        <w:rPr>
          <w:color w:val="581D74" w:themeColor="accent1"/>
          <w:sz w:val="14"/>
          <w:szCs w:val="14"/>
        </w:rPr>
        <w:tab/>
      </w:r>
    </w:p>
    <w:p w:rsidR="006E3737" w:rsidRDefault="006E3737" w:rsidP="006E3737">
      <w:pPr>
        <w:tabs>
          <w:tab w:val="left" w:pos="336"/>
        </w:tabs>
        <w:ind w:left="330" w:hanging="330"/>
        <w:rPr>
          <w:color w:val="581D74" w:themeColor="accent1"/>
          <w:sz w:val="14"/>
          <w:szCs w:val="14"/>
        </w:rPr>
      </w:pPr>
      <w:r w:rsidRPr="00CC0E7A">
        <w:rPr>
          <w:color w:val="581D74" w:themeColor="accent1"/>
          <w:sz w:val="14"/>
          <w:szCs w:val="14"/>
          <w:vertAlign w:val="superscript"/>
        </w:rPr>
        <w:t>***</w:t>
      </w:r>
      <w:r>
        <w:rPr>
          <w:color w:val="581D74" w:themeColor="accent1"/>
          <w:sz w:val="14"/>
          <w:szCs w:val="14"/>
        </w:rPr>
        <w:t xml:space="preserve"> </w:t>
      </w:r>
      <w:r>
        <w:rPr>
          <w:color w:val="581D74" w:themeColor="accent1"/>
          <w:sz w:val="14"/>
          <w:szCs w:val="14"/>
        </w:rPr>
        <w:tab/>
      </w:r>
      <w:r w:rsidR="00DF372D">
        <w:rPr>
          <w:color w:val="581D74" w:themeColor="accent1"/>
          <w:sz w:val="14"/>
          <w:szCs w:val="14"/>
        </w:rPr>
        <w:t xml:space="preserve">Hors éléments </w:t>
      </w:r>
      <w:r w:rsidR="00DB5267">
        <w:rPr>
          <w:color w:val="581D74" w:themeColor="accent1"/>
          <w:sz w:val="14"/>
          <w:szCs w:val="14"/>
        </w:rPr>
        <w:t>exceptionnels</w:t>
      </w:r>
    </w:p>
    <w:p w:rsidR="00DF372D" w:rsidRDefault="006E3737" w:rsidP="00DF372D">
      <w:pPr>
        <w:tabs>
          <w:tab w:val="left" w:pos="336"/>
        </w:tabs>
        <w:ind w:left="330" w:hanging="330"/>
        <w:rPr>
          <w:color w:val="581D74" w:themeColor="accent1"/>
          <w:sz w:val="14"/>
          <w:szCs w:val="14"/>
        </w:rPr>
      </w:pPr>
      <w:r w:rsidRPr="00477008">
        <w:rPr>
          <w:color w:val="581D74" w:themeColor="accent1"/>
          <w:sz w:val="14"/>
          <w:szCs w:val="14"/>
          <w:vertAlign w:val="superscript"/>
        </w:rPr>
        <w:t>**</w:t>
      </w:r>
      <w:r>
        <w:rPr>
          <w:color w:val="581D74" w:themeColor="accent1"/>
          <w:sz w:val="14"/>
          <w:szCs w:val="14"/>
          <w:vertAlign w:val="superscript"/>
        </w:rPr>
        <w:t>**</w:t>
      </w:r>
      <w:r>
        <w:rPr>
          <w:color w:val="581D74" w:themeColor="accent1"/>
          <w:sz w:val="14"/>
          <w:szCs w:val="14"/>
          <w:vertAlign w:val="superscript"/>
        </w:rPr>
        <w:tab/>
      </w:r>
      <w:r w:rsidR="00DF372D">
        <w:rPr>
          <w:color w:val="581D74" w:themeColor="accent1"/>
          <w:sz w:val="14"/>
          <w:szCs w:val="14"/>
        </w:rPr>
        <w:t xml:space="preserve">Hors éléments </w:t>
      </w:r>
      <w:r w:rsidR="00DB5267">
        <w:rPr>
          <w:color w:val="581D74" w:themeColor="accent1"/>
          <w:sz w:val="14"/>
          <w:szCs w:val="14"/>
        </w:rPr>
        <w:t>exceptionnels</w:t>
      </w:r>
      <w:r w:rsidR="00DF372D">
        <w:rPr>
          <w:color w:val="581D74" w:themeColor="accent1"/>
          <w:sz w:val="14"/>
          <w:szCs w:val="14"/>
        </w:rPr>
        <w:t xml:space="preserve"> et hors impact IFRIC 21</w:t>
      </w:r>
    </w:p>
    <w:p w:rsidR="001124DB" w:rsidRPr="00A25990" w:rsidRDefault="001124DB" w:rsidP="00DF372D">
      <w:pPr>
        <w:tabs>
          <w:tab w:val="left" w:pos="336"/>
        </w:tabs>
        <w:ind w:left="330" w:hanging="330"/>
        <w:rPr>
          <w:color w:val="581D74" w:themeColor="accent1"/>
          <w:sz w:val="14"/>
          <w:szCs w:val="14"/>
          <w:vertAlign w:val="superscript"/>
        </w:rPr>
      </w:pPr>
      <w:r w:rsidRPr="00A25990">
        <w:rPr>
          <w:color w:val="581D74" w:themeColor="accent1"/>
          <w:sz w:val="14"/>
          <w:szCs w:val="14"/>
          <w:vertAlign w:val="superscript"/>
        </w:rPr>
        <w:t>*****</w:t>
      </w:r>
      <w:r>
        <w:rPr>
          <w:color w:val="581D74" w:themeColor="accent1"/>
          <w:sz w:val="14"/>
          <w:szCs w:val="14"/>
          <w:vertAlign w:val="superscript"/>
        </w:rPr>
        <w:t xml:space="preserve"> </w:t>
      </w:r>
      <w:r>
        <w:rPr>
          <w:color w:val="581D74" w:themeColor="accent1"/>
          <w:sz w:val="14"/>
          <w:szCs w:val="14"/>
        </w:rPr>
        <w:t xml:space="preserve">Exposition de 260 M€ en principal provisionnée à 50% (provision totale de 142 M€ en tenant compte d’intérêts et accessoires). Cette exposition correspond à des titres émis à l’origine par la banque autrichienne Hypo Alpe </w:t>
      </w:r>
      <w:proofErr w:type="spellStart"/>
      <w:r>
        <w:rPr>
          <w:color w:val="581D74" w:themeColor="accent1"/>
          <w:sz w:val="14"/>
          <w:szCs w:val="14"/>
        </w:rPr>
        <w:t>Adria</w:t>
      </w:r>
      <w:proofErr w:type="spellEnd"/>
      <w:r>
        <w:rPr>
          <w:color w:val="581D74" w:themeColor="accent1"/>
          <w:sz w:val="14"/>
          <w:szCs w:val="14"/>
        </w:rPr>
        <w:t xml:space="preserve"> avec la garantie du land autrichien de Carinthie</w:t>
      </w:r>
    </w:p>
    <w:p w:rsidR="006E3737" w:rsidRDefault="006E3737" w:rsidP="006E3737">
      <w:pPr>
        <w:tabs>
          <w:tab w:val="left" w:pos="336"/>
        </w:tabs>
        <w:rPr>
          <w:color w:val="FF0000"/>
          <w:sz w:val="14"/>
          <w:szCs w:val="14"/>
        </w:rPr>
      </w:pPr>
    </w:p>
    <w:p w:rsidR="00696668" w:rsidRPr="00415E6E" w:rsidRDefault="00696668" w:rsidP="00696668">
      <w:pPr>
        <w:pStyle w:val="2-TEXTECOURANTcommuniqu"/>
      </w:pPr>
    </w:p>
    <w:p w:rsidR="00696668" w:rsidRPr="00415E6E" w:rsidRDefault="00696668" w:rsidP="00696668">
      <w:pPr>
        <w:pStyle w:val="2-TEXTECOURANTcommuniqu"/>
      </w:pPr>
      <w:r w:rsidRPr="00415E6E">
        <w:t> </w:t>
      </w:r>
    </w:p>
    <w:p w:rsidR="00696668" w:rsidRDefault="00696668" w:rsidP="00696668">
      <w:pPr>
        <w:rPr>
          <w:spacing w:val="-4"/>
          <w:sz w:val="20"/>
          <w:szCs w:val="20"/>
        </w:rPr>
      </w:pPr>
      <w:r>
        <w:br w:type="page"/>
      </w:r>
    </w:p>
    <w:p w:rsidR="00696668" w:rsidRPr="00415E6E" w:rsidRDefault="00696668" w:rsidP="00696668">
      <w:pPr>
        <w:pStyle w:val="3-Titre1"/>
      </w:pPr>
      <w:r w:rsidRPr="001C5D6B">
        <w:rPr>
          <w:rStyle w:val="orange"/>
        </w:rPr>
        <w:lastRenderedPageBreak/>
        <w:t>2.</w:t>
      </w:r>
      <w:r w:rsidRPr="00415E6E">
        <w:tab/>
      </w:r>
      <w:r w:rsidR="00460A89">
        <w:t>POURSUITE DU RENFORCEMENT DU BILAN</w:t>
      </w:r>
      <w:r w:rsidRPr="00415E6E">
        <w:t xml:space="preserve"> </w:t>
      </w:r>
      <w:r w:rsidR="004F4AB8">
        <w:t>AU PREMIER TRIMESTRE 2015</w:t>
      </w:r>
    </w:p>
    <w:p w:rsidR="00696668" w:rsidRPr="00000638" w:rsidRDefault="00696668" w:rsidP="00696668">
      <w:pPr>
        <w:pStyle w:val="3-Titre2"/>
      </w:pPr>
      <w:r w:rsidRPr="00000638">
        <w:rPr>
          <w:rStyle w:val="orange"/>
        </w:rPr>
        <w:t>2.1</w:t>
      </w:r>
      <w:r w:rsidRPr="00000638">
        <w:tab/>
      </w:r>
      <w:r w:rsidR="002F7853">
        <w:t xml:space="preserve">Un </w:t>
      </w:r>
      <w:r w:rsidR="00FF0891">
        <w:t xml:space="preserve">ratio de CET1 en hausse de 20 points de base et un </w:t>
      </w:r>
      <w:r w:rsidR="002F7853">
        <w:t>ratio de solvabilité global en progression de 10 points de base</w:t>
      </w:r>
      <w:r w:rsidR="00FF0891">
        <w:t xml:space="preserve"> au premier trimestre 2015</w:t>
      </w:r>
    </w:p>
    <w:p w:rsidR="007577B6" w:rsidRPr="00EA0780" w:rsidRDefault="007577B6" w:rsidP="007577B6">
      <w:pPr>
        <w:pStyle w:val="2-TEXTECOURANTcommuniqu"/>
      </w:pPr>
      <w:r w:rsidRPr="00EA0780">
        <w:t>Le Groupe BPCE présente un niveau élevé d</w:t>
      </w:r>
      <w:r>
        <w:t>u ratio de</w:t>
      </w:r>
      <w:r w:rsidRPr="00EA0780">
        <w:t xml:space="preserve"> solvabilité global</w:t>
      </w:r>
      <w:bookmarkStart w:id="7" w:name="_Ref418506411"/>
      <w:r w:rsidR="00FF0891">
        <w:rPr>
          <w:rStyle w:val="Appelnotedebasdep"/>
        </w:rPr>
        <w:footnoteReference w:id="8"/>
      </w:r>
      <w:bookmarkEnd w:id="7"/>
      <w:r w:rsidRPr="00EA0780">
        <w:t xml:space="preserve">, </w:t>
      </w:r>
      <w:r w:rsidR="00FF0891">
        <w:t xml:space="preserve">estimé </w:t>
      </w:r>
      <w:r w:rsidRPr="00EA0780">
        <w:t>à 15,7 %</w:t>
      </w:r>
      <w:r>
        <w:t xml:space="preserve"> au 3</w:t>
      </w:r>
      <w:r w:rsidR="00B74F1A">
        <w:t>1 </w:t>
      </w:r>
      <w:r>
        <w:t>mars 2015</w:t>
      </w:r>
      <w:r w:rsidRPr="00EA0780">
        <w:t xml:space="preserve">, en augmentation de </w:t>
      </w:r>
      <w:r>
        <w:t>10 points de base par rapport au 31 décembre 2014.</w:t>
      </w:r>
    </w:p>
    <w:p w:rsidR="005D181C" w:rsidRDefault="005D181C" w:rsidP="00696668">
      <w:pPr>
        <w:pStyle w:val="2-TEXTECOURANTcommuniqu"/>
      </w:pPr>
    </w:p>
    <w:p w:rsidR="007577B6" w:rsidRDefault="00FF0891" w:rsidP="005D181C">
      <w:pPr>
        <w:pStyle w:val="2-TEXTECOURANTcommuniqu"/>
      </w:pPr>
      <w:r>
        <w:t>Co</w:t>
      </w:r>
      <w:r w:rsidR="005D181C">
        <w:t xml:space="preserve">nformément aux priorités du </w:t>
      </w:r>
      <w:r>
        <w:t>g</w:t>
      </w:r>
      <w:r w:rsidR="005D181C">
        <w:t>roupe en matière de capital réglementaire, l</w:t>
      </w:r>
      <w:r w:rsidR="00696668" w:rsidRPr="005639D9">
        <w:t xml:space="preserve">es fonds propres </w:t>
      </w:r>
      <w:r w:rsidR="003C6CD3">
        <w:t>globaux</w:t>
      </w:r>
      <w:r w:rsidR="00696668" w:rsidRPr="005639D9">
        <w:t xml:space="preserve"> ont augmenté de </w:t>
      </w:r>
      <w:r w:rsidR="003C6CD3">
        <w:t>1</w:t>
      </w:r>
      <w:r w:rsidR="005639D9" w:rsidRPr="009F7D88">
        <w:t>,</w:t>
      </w:r>
      <w:r w:rsidR="003C6CD3">
        <w:t>4</w:t>
      </w:r>
      <w:r w:rsidR="00105F42" w:rsidRPr="009F7D88">
        <w:t> </w:t>
      </w:r>
      <w:r w:rsidR="00696668" w:rsidRPr="009F7D88">
        <w:t xml:space="preserve">milliard d’euros </w:t>
      </w:r>
      <w:r w:rsidR="00014DA1">
        <w:t xml:space="preserve">durant le </w:t>
      </w:r>
      <w:r w:rsidR="007C7DB2">
        <w:t xml:space="preserve">premier </w:t>
      </w:r>
      <w:r w:rsidR="00014DA1">
        <w:t>trimestre</w:t>
      </w:r>
      <w:r w:rsidR="007C7DB2">
        <w:t xml:space="preserve"> 2015</w:t>
      </w:r>
      <w:r w:rsidR="005639D9" w:rsidRPr="009F7D88">
        <w:t xml:space="preserve">, </w:t>
      </w:r>
      <w:r w:rsidR="00696668" w:rsidRPr="009F7D88">
        <w:t>pas</w:t>
      </w:r>
      <w:r w:rsidR="0065290A" w:rsidRPr="009F7D88">
        <w:t xml:space="preserve">sant de </w:t>
      </w:r>
      <w:r w:rsidR="003C6CD3">
        <w:t>61</w:t>
      </w:r>
      <w:r w:rsidR="005639D9" w:rsidRPr="009F7D88">
        <w:t>,</w:t>
      </w:r>
      <w:r w:rsidR="003C6CD3">
        <w:t>2</w:t>
      </w:r>
      <w:r w:rsidR="00D6027C">
        <w:t> </w:t>
      </w:r>
      <w:r w:rsidR="0065290A" w:rsidRPr="009F7D88">
        <w:t>milliards d’euros</w:t>
      </w:r>
      <w:r w:rsidR="00105F42" w:rsidRPr="009F7D88">
        <w:t xml:space="preserve"> </w:t>
      </w:r>
      <w:r w:rsidR="005639D9" w:rsidRPr="009F7D88">
        <w:t>au 31 décembre 201</w:t>
      </w:r>
      <w:r w:rsidR="003C6CD3">
        <w:t>4</w:t>
      </w:r>
      <w:r w:rsidR="005639D9" w:rsidRPr="009F7D88">
        <w:t xml:space="preserve"> à </w:t>
      </w:r>
      <w:r w:rsidR="003C6CD3">
        <w:t>62</w:t>
      </w:r>
      <w:r w:rsidR="005639D9" w:rsidRPr="009F7D88">
        <w:t>,</w:t>
      </w:r>
      <w:r w:rsidR="003C6CD3">
        <w:t>6</w:t>
      </w:r>
      <w:r w:rsidR="00105F42" w:rsidRPr="009F7D88">
        <w:t> </w:t>
      </w:r>
      <w:r w:rsidR="00696668" w:rsidRPr="009F7D88">
        <w:t>milliards d’euros au</w:t>
      </w:r>
      <w:r w:rsidR="00105F42" w:rsidRPr="009F7D88">
        <w:t xml:space="preserve"> 31 </w:t>
      </w:r>
      <w:r w:rsidR="005639D9" w:rsidRPr="009F7D88">
        <w:t>mars 2015</w:t>
      </w:r>
      <w:r w:rsidR="00105F42" w:rsidRPr="009F7D88">
        <w:t xml:space="preserve">. </w:t>
      </w:r>
    </w:p>
    <w:p w:rsidR="007577B6" w:rsidRDefault="007577B6" w:rsidP="005D181C">
      <w:pPr>
        <w:pStyle w:val="2-TEXTECOURANTcommuniqu"/>
      </w:pPr>
    </w:p>
    <w:p w:rsidR="00791077" w:rsidRDefault="008814E1" w:rsidP="00791077">
      <w:pPr>
        <w:pStyle w:val="2-TEXTECOURANTcommuniqu"/>
      </w:pPr>
      <w:r>
        <w:t xml:space="preserve">La progression des </w:t>
      </w:r>
      <w:r w:rsidR="007577B6">
        <w:t xml:space="preserve">fonds propres globaux est </w:t>
      </w:r>
      <w:r w:rsidR="003C6CD3">
        <w:t xml:space="preserve">liée en totalité </w:t>
      </w:r>
      <w:r w:rsidR="005D181C">
        <w:t xml:space="preserve">à </w:t>
      </w:r>
      <w:r>
        <w:t>la hausse d</w:t>
      </w:r>
      <w:r w:rsidR="005D181C">
        <w:t>u C</w:t>
      </w:r>
      <w:r w:rsidR="001124DB">
        <w:t xml:space="preserve">ET1 </w:t>
      </w:r>
      <w:r w:rsidR="005D181C">
        <w:t>(</w:t>
      </w:r>
      <w:r w:rsidR="001124DB">
        <w:t>1,4 milliard d’euros)</w:t>
      </w:r>
      <w:r>
        <w:t xml:space="preserve">, </w:t>
      </w:r>
      <w:r w:rsidR="00791077">
        <w:t xml:space="preserve">puisque les émissions de </w:t>
      </w:r>
      <w:proofErr w:type="spellStart"/>
      <w:r w:rsidR="00791077">
        <w:t>Tier</w:t>
      </w:r>
      <w:proofErr w:type="spellEnd"/>
      <w:r w:rsidR="00791077">
        <w:t xml:space="preserve"> 2 (1,6 milliard d’euros) ont compensé la baisse, pour le même montant, des fonds propres additionnels de catégorie 1 (AT1)</w:t>
      </w:r>
      <w:r w:rsidR="00B74F1A">
        <w:t xml:space="preserve">, liée à </w:t>
      </w:r>
      <w:r w:rsidR="00791077">
        <w:t xml:space="preserve">l’exercice de calls sur d’anciennes émissions de </w:t>
      </w:r>
      <w:proofErr w:type="spellStart"/>
      <w:r w:rsidR="00791077">
        <w:t>Tier</w:t>
      </w:r>
      <w:proofErr w:type="spellEnd"/>
      <w:r w:rsidR="00791077">
        <w:t xml:space="preserve"> 1 hybrides. </w:t>
      </w:r>
    </w:p>
    <w:p w:rsidR="00791077" w:rsidRDefault="00791077" w:rsidP="00140952">
      <w:pPr>
        <w:pStyle w:val="2-TEXTECOURANTcommuniqu"/>
      </w:pPr>
    </w:p>
    <w:p w:rsidR="001124DB" w:rsidRDefault="001124DB" w:rsidP="001124DB">
      <w:pPr>
        <w:pStyle w:val="2-TEXTECOURANTcommuniqu"/>
      </w:pPr>
      <w:r>
        <w:t>L</w:t>
      </w:r>
      <w:r w:rsidRPr="000B69E9">
        <w:t xml:space="preserve">a solvabilité du Groupe BPCE </w:t>
      </w:r>
      <w:r>
        <w:t>continue de progresser</w:t>
      </w:r>
      <w:r w:rsidR="00A27C22">
        <w:t xml:space="preserve"> au premier trimestre 2015 </w:t>
      </w:r>
      <w:r w:rsidRPr="000B69E9">
        <w:t>avec un ratio de C</w:t>
      </w:r>
      <w:r>
        <w:t>ET1</w:t>
      </w:r>
      <w:r w:rsidRPr="000B69E9">
        <w:t xml:space="preserve"> </w:t>
      </w:r>
      <w:r>
        <w:t>(</w:t>
      </w:r>
      <w:r w:rsidRPr="000B69E9">
        <w:t>Bâle 3</w:t>
      </w:r>
      <w:r>
        <w:t>)</w:t>
      </w:r>
      <w:r w:rsidRPr="000B69E9">
        <w:t xml:space="preserve"> </w:t>
      </w:r>
      <w:r>
        <w:t>estimé à</w:t>
      </w:r>
      <w:r w:rsidRPr="000B69E9">
        <w:t xml:space="preserve"> 12,</w:t>
      </w:r>
      <w:r>
        <w:t>2 %</w:t>
      </w:r>
      <w:r>
        <w:fldChar w:fldCharType="begin"/>
      </w:r>
      <w:r>
        <w:instrText xml:space="preserve"> NOTEREF _Ref418506411 \f \h </w:instrText>
      </w:r>
      <w:r>
        <w:fldChar w:fldCharType="separate"/>
      </w:r>
      <w:r w:rsidR="000E7E26" w:rsidRPr="000E7E26">
        <w:rPr>
          <w:rStyle w:val="Appelnotedebasdep"/>
        </w:rPr>
        <w:t>8</w:t>
      </w:r>
      <w:r>
        <w:fldChar w:fldCharType="end"/>
      </w:r>
      <w:r w:rsidRPr="000B69E9">
        <w:t xml:space="preserve"> au 31 mars 2015, en amélioration de 20 points de base par rapport au 31 décembre 2014 (12,0 %</w:t>
      </w:r>
      <w:r>
        <w:fldChar w:fldCharType="begin"/>
      </w:r>
      <w:r>
        <w:instrText xml:space="preserve"> NOTEREF _Ref418506411 \f \h </w:instrText>
      </w:r>
      <w:r>
        <w:fldChar w:fldCharType="separate"/>
      </w:r>
      <w:r w:rsidR="000E7E26" w:rsidRPr="000E7E26">
        <w:rPr>
          <w:rStyle w:val="Appelnotedebasdep"/>
        </w:rPr>
        <w:t>8</w:t>
      </w:r>
      <w:r>
        <w:fldChar w:fldCharType="end"/>
      </w:r>
      <w:r w:rsidRPr="000B69E9">
        <w:t>)</w:t>
      </w:r>
      <w:r>
        <w:t xml:space="preserve">. </w:t>
      </w:r>
    </w:p>
    <w:p w:rsidR="001124DB" w:rsidRDefault="001124DB" w:rsidP="00140952">
      <w:pPr>
        <w:pStyle w:val="2-TEXTECOURANTcommuniqu"/>
      </w:pPr>
    </w:p>
    <w:p w:rsidR="00140952" w:rsidRDefault="00791077" w:rsidP="00140952">
      <w:pPr>
        <w:pStyle w:val="2-TEXTECOURANTcommuniqu"/>
      </w:pPr>
      <w:r>
        <w:t>L’augmentation d</w:t>
      </w:r>
      <w:r w:rsidR="00014DA1">
        <w:t>u ratio de</w:t>
      </w:r>
      <w:r>
        <w:t xml:space="preserve"> CET1 est p</w:t>
      </w:r>
      <w:r w:rsidR="008814E1">
        <w:t xml:space="preserve">rincipalement </w:t>
      </w:r>
      <w:r>
        <w:t xml:space="preserve">due à </w:t>
      </w:r>
      <w:r w:rsidR="005D181C">
        <w:t>la mise en réserve</w:t>
      </w:r>
      <w:r w:rsidR="00014DA1">
        <w:rPr>
          <w:rStyle w:val="Appelnotedebasdep"/>
        </w:rPr>
        <w:footnoteReference w:id="9"/>
      </w:r>
      <w:r w:rsidR="005D181C">
        <w:t xml:space="preserve"> du résultat</w:t>
      </w:r>
      <w:r w:rsidR="001124DB">
        <w:t xml:space="preserve"> (+ 13</w:t>
      </w:r>
      <w:r w:rsidR="005547E2">
        <w:t> </w:t>
      </w:r>
      <w:proofErr w:type="spellStart"/>
      <w:r w:rsidR="001124DB">
        <w:t>pb</w:t>
      </w:r>
      <w:proofErr w:type="spellEnd"/>
      <w:r w:rsidR="001124DB">
        <w:t>)</w:t>
      </w:r>
      <w:r w:rsidR="005D181C">
        <w:t>. En effet, le Groupe BPCE a la capacité de mettre en réserve de façon récurrente un pourcentage élevé de son résultat, afin de constituer un coussin important de CET1.</w:t>
      </w:r>
      <w:r w:rsidR="00140952">
        <w:t xml:space="preserve"> Au premier trimestre 2015, l</w:t>
      </w:r>
      <w:r w:rsidR="00140952" w:rsidRPr="009F7D88">
        <w:t>es réserves</w:t>
      </w:r>
      <w:r w:rsidR="008814E1">
        <w:rPr>
          <w:rStyle w:val="Appelnotedebasdep"/>
        </w:rPr>
        <w:footnoteReference w:id="10"/>
      </w:r>
      <w:r w:rsidR="00140952" w:rsidRPr="009F7D88">
        <w:t xml:space="preserve"> ont</w:t>
      </w:r>
      <w:r w:rsidR="00140952">
        <w:t xml:space="preserve"> ainsi </w:t>
      </w:r>
      <w:r w:rsidR="00140952" w:rsidRPr="009F7D88">
        <w:t>progressé de près d’un milliard d’euros depuis le 31</w:t>
      </w:r>
      <w:r w:rsidR="005547E2">
        <w:t> </w:t>
      </w:r>
      <w:r w:rsidR="00140952" w:rsidRPr="009F7D88">
        <w:t>décembre 2014</w:t>
      </w:r>
      <w:r w:rsidR="00140952">
        <w:t>,</w:t>
      </w:r>
      <w:r w:rsidR="00140952" w:rsidRPr="009F7D88">
        <w:t xml:space="preserve"> passant de 27,</w:t>
      </w:r>
      <w:r w:rsidR="001124DB">
        <w:t>1 </w:t>
      </w:r>
      <w:r w:rsidR="00140952" w:rsidRPr="009F7D88">
        <w:t>milliards d’euros à 28</w:t>
      </w:r>
      <w:r w:rsidR="00140952">
        <w:t>,0</w:t>
      </w:r>
      <w:r w:rsidR="00140952" w:rsidRPr="009F7D88">
        <w:t xml:space="preserve"> milliards d’euros au 31 mars 2015.</w:t>
      </w:r>
    </w:p>
    <w:p w:rsidR="00014DA1" w:rsidRDefault="00014DA1" w:rsidP="00140952">
      <w:pPr>
        <w:pStyle w:val="2-TEXTECOURANTcommuniqu"/>
      </w:pPr>
    </w:p>
    <w:p w:rsidR="00014DA1" w:rsidRPr="00D87088" w:rsidRDefault="00014DA1" w:rsidP="00014DA1">
      <w:pPr>
        <w:pStyle w:val="2-TEXTECOURANTcommuniqu"/>
      </w:pPr>
      <w:r>
        <w:t>L</w:t>
      </w:r>
      <w:r w:rsidRPr="00D87088">
        <w:t>es risques po</w:t>
      </w:r>
      <w:r>
        <w:t>ndérés (Bâle 3) sont passés de 393</w:t>
      </w:r>
      <w:r w:rsidRPr="00D87088">
        <w:t xml:space="preserve"> milliards d’euros</w:t>
      </w:r>
      <w:r>
        <w:t xml:space="preserve"> </w:t>
      </w:r>
      <w:r w:rsidRPr="00D87088">
        <w:t xml:space="preserve">au 31 </w:t>
      </w:r>
      <w:r>
        <w:t xml:space="preserve">décembre 2014 </w:t>
      </w:r>
      <w:r w:rsidRPr="00D87088">
        <w:t>à 399</w:t>
      </w:r>
      <w:r w:rsidR="005547E2">
        <w:t> </w:t>
      </w:r>
      <w:r w:rsidRPr="00D87088">
        <w:t>milliards d’euros au 31 mars 2015</w:t>
      </w:r>
      <w:r>
        <w:t>.</w:t>
      </w:r>
    </w:p>
    <w:p w:rsidR="00014DA1" w:rsidRPr="002B3D74" w:rsidRDefault="00014DA1" w:rsidP="00140952">
      <w:pPr>
        <w:pStyle w:val="2-TEXTECOURANTcommuniqu"/>
        <w:rPr>
          <w:color w:val="FF0000"/>
        </w:rPr>
      </w:pPr>
    </w:p>
    <w:p w:rsidR="00696668" w:rsidRPr="00074BBE" w:rsidRDefault="00696668" w:rsidP="00696668">
      <w:pPr>
        <w:pStyle w:val="2-TEXTECOURANTcommuniqu"/>
      </w:pPr>
      <w:r w:rsidRPr="00074BBE">
        <w:t xml:space="preserve">Au 31 </w:t>
      </w:r>
      <w:r w:rsidR="00074BBE" w:rsidRPr="00074BBE">
        <w:t>mars 2015</w:t>
      </w:r>
      <w:r w:rsidRPr="00074BBE">
        <w:t>, le ratio de levier</w:t>
      </w:r>
      <w:r w:rsidR="00791077">
        <w:rPr>
          <w:rStyle w:val="Appelnotedebasdep"/>
        </w:rPr>
        <w:footnoteReference w:id="11"/>
      </w:r>
      <w:r w:rsidRPr="00074BBE">
        <w:t xml:space="preserve"> </w:t>
      </w:r>
      <w:r w:rsidR="00791077">
        <w:t>(</w:t>
      </w:r>
      <w:r w:rsidRPr="00074BBE">
        <w:t>Bâle 3</w:t>
      </w:r>
      <w:r w:rsidR="00791077">
        <w:t>)</w:t>
      </w:r>
      <w:r w:rsidR="00074BBE" w:rsidRPr="00074BBE">
        <w:t xml:space="preserve"> s’établit à 4,6</w:t>
      </w:r>
      <w:r w:rsidRPr="00074BBE">
        <w:t xml:space="preserve"> %, </w:t>
      </w:r>
      <w:r w:rsidR="00074BBE" w:rsidRPr="00074BBE">
        <w:t>en légère hausse par rapport au 31</w:t>
      </w:r>
      <w:r w:rsidR="00B74F1A">
        <w:t> </w:t>
      </w:r>
      <w:r w:rsidR="00074BBE" w:rsidRPr="00074BBE">
        <w:t>décembre 2014</w:t>
      </w:r>
      <w:r w:rsidR="007B44F8">
        <w:t xml:space="preserve"> (4,5 %)</w:t>
      </w:r>
      <w:r w:rsidR="00074BBE" w:rsidRPr="00074BBE">
        <w:t>.</w:t>
      </w:r>
    </w:p>
    <w:p w:rsidR="00696668" w:rsidRPr="00415E6E" w:rsidRDefault="00696668" w:rsidP="00696668">
      <w:pPr>
        <w:pStyle w:val="3-Titre2"/>
      </w:pPr>
      <w:r w:rsidRPr="00000638">
        <w:rPr>
          <w:color w:val="F47920" w:themeColor="accent3"/>
        </w:rPr>
        <w:t>2.2</w:t>
      </w:r>
      <w:r w:rsidRPr="00415E6E">
        <w:tab/>
        <w:t xml:space="preserve"> </w:t>
      </w:r>
      <w:r w:rsidR="00B61775">
        <w:t>Poursuite du r</w:t>
      </w:r>
      <w:r w:rsidRPr="00415E6E">
        <w:t>enforcement continu de la structure de bilan</w:t>
      </w:r>
    </w:p>
    <w:p w:rsidR="00BF0A5E" w:rsidRPr="00E95450" w:rsidRDefault="00BF0A5E" w:rsidP="00BF0A5E">
      <w:pPr>
        <w:pStyle w:val="2-TEXTECOURANTcommuniqu"/>
        <w:rPr>
          <w:color w:val="000000" w:themeColor="text1"/>
        </w:rPr>
      </w:pPr>
      <w:r w:rsidRPr="00E95450">
        <w:rPr>
          <w:color w:val="000000" w:themeColor="text1"/>
        </w:rPr>
        <w:t>Les réserves de liquidité couvrent 128 % d</w:t>
      </w:r>
      <w:r>
        <w:rPr>
          <w:color w:val="000000" w:themeColor="text1"/>
        </w:rPr>
        <w:t>u total d</w:t>
      </w:r>
      <w:r w:rsidRPr="00E95450">
        <w:rPr>
          <w:color w:val="000000" w:themeColor="text1"/>
        </w:rPr>
        <w:t>es encours de refinancement court terme et tombées moyen-long terme et subordonnées inférieures ou égales à un an. Les rése</w:t>
      </w:r>
      <w:r>
        <w:rPr>
          <w:color w:val="000000" w:themeColor="text1"/>
        </w:rPr>
        <w:t>rves de liquidité s’élèvent à 181</w:t>
      </w:r>
      <w:r w:rsidRPr="00E95450">
        <w:rPr>
          <w:color w:val="000000" w:themeColor="text1"/>
        </w:rPr>
        <w:t xml:space="preserve"> milliards d’euros au 31 </w:t>
      </w:r>
      <w:r>
        <w:rPr>
          <w:color w:val="000000" w:themeColor="text1"/>
        </w:rPr>
        <w:t>mars</w:t>
      </w:r>
      <w:r w:rsidRPr="00E95450">
        <w:rPr>
          <w:color w:val="000000" w:themeColor="text1"/>
        </w:rPr>
        <w:t xml:space="preserve"> 201</w:t>
      </w:r>
      <w:r>
        <w:rPr>
          <w:color w:val="000000" w:themeColor="text1"/>
        </w:rPr>
        <w:t>5 (contre 142</w:t>
      </w:r>
      <w:r w:rsidRPr="00E95450">
        <w:rPr>
          <w:color w:val="000000" w:themeColor="text1"/>
        </w:rPr>
        <w:t xml:space="preserve"> milliards d’euros </w:t>
      </w:r>
      <w:r>
        <w:rPr>
          <w:color w:val="000000" w:themeColor="text1"/>
        </w:rPr>
        <w:t>au 3</w:t>
      </w:r>
      <w:r w:rsidR="00B74F1A">
        <w:rPr>
          <w:color w:val="000000" w:themeColor="text1"/>
        </w:rPr>
        <w:t>1 </w:t>
      </w:r>
      <w:r>
        <w:rPr>
          <w:color w:val="000000" w:themeColor="text1"/>
        </w:rPr>
        <w:t>mars 2014) dont 125</w:t>
      </w:r>
      <w:r w:rsidRPr="00E95450">
        <w:rPr>
          <w:color w:val="000000" w:themeColor="text1"/>
        </w:rPr>
        <w:t xml:space="preserve"> milliards d’euros d’actifs disponibles éligibles au ref</w:t>
      </w:r>
      <w:r>
        <w:rPr>
          <w:color w:val="000000" w:themeColor="text1"/>
        </w:rPr>
        <w:t>inancement banques centrales (</w:t>
      </w:r>
      <w:r w:rsidR="00156301">
        <w:rPr>
          <w:color w:val="000000" w:themeColor="text1"/>
        </w:rPr>
        <w:t xml:space="preserve">stables par rapport au 31 </w:t>
      </w:r>
      <w:r>
        <w:rPr>
          <w:color w:val="000000" w:themeColor="text1"/>
        </w:rPr>
        <w:t>mars 2014) et 56</w:t>
      </w:r>
      <w:r w:rsidRPr="00E95450">
        <w:rPr>
          <w:color w:val="000000" w:themeColor="text1"/>
        </w:rPr>
        <w:t xml:space="preserve"> milliards d’euros de liquidités placées </w:t>
      </w:r>
      <w:r>
        <w:rPr>
          <w:color w:val="000000" w:themeColor="text1"/>
        </w:rPr>
        <w:t>auprès des banques centrales (17</w:t>
      </w:r>
      <w:r w:rsidRPr="00E95450">
        <w:rPr>
          <w:color w:val="000000" w:themeColor="text1"/>
        </w:rPr>
        <w:t xml:space="preserve"> milliards d’euros </w:t>
      </w:r>
      <w:r>
        <w:rPr>
          <w:color w:val="000000" w:themeColor="text1"/>
        </w:rPr>
        <w:t>au 31 mars 2014</w:t>
      </w:r>
      <w:r w:rsidRPr="00E95450">
        <w:rPr>
          <w:color w:val="000000" w:themeColor="text1"/>
        </w:rPr>
        <w:t xml:space="preserve">). </w:t>
      </w:r>
    </w:p>
    <w:p w:rsidR="00BF0A5E" w:rsidRPr="001C7BD8" w:rsidRDefault="00BF0A5E" w:rsidP="00BF0A5E">
      <w:pPr>
        <w:pStyle w:val="2-TEXTECOURANTcommuniqu"/>
      </w:pPr>
    </w:p>
    <w:p w:rsidR="00BF0A5E" w:rsidRPr="001C7BD8" w:rsidRDefault="00BF0A5E" w:rsidP="00BF0A5E">
      <w:pPr>
        <w:pStyle w:val="2-TEXTECOURANTcommuniqu"/>
      </w:pPr>
      <w:r w:rsidRPr="001C7BD8">
        <w:t>Le coefficient emplois/ressources clientèle du Groupe BPCE ressort à 119 %</w:t>
      </w:r>
      <w:r w:rsidR="00791077">
        <w:rPr>
          <w:rStyle w:val="Appelnotedebasdep"/>
        </w:rPr>
        <w:footnoteReference w:id="12"/>
      </w:r>
      <w:r w:rsidRPr="001C7BD8">
        <w:t xml:space="preserve"> au 31 mars 2015. </w:t>
      </w:r>
    </w:p>
    <w:p w:rsidR="00BF0A5E" w:rsidRPr="001C7BD8" w:rsidRDefault="00BF0A5E" w:rsidP="00BF0A5E">
      <w:pPr>
        <w:pStyle w:val="2-TEXTECOURANTcommuniqu"/>
      </w:pPr>
    </w:p>
    <w:p w:rsidR="00BF0A5E" w:rsidRPr="001C7BD8" w:rsidRDefault="00BF0A5E" w:rsidP="00BF0A5E">
      <w:pPr>
        <w:pStyle w:val="2-TEXTECOURANTcommuniqu"/>
      </w:pPr>
      <w:r w:rsidRPr="001C7BD8">
        <w:t>Le ratio de liquidité court terme (LCR) est supérieur à 100 %</w:t>
      </w:r>
      <w:r w:rsidR="00791077">
        <w:rPr>
          <w:rStyle w:val="Appelnotedebasdep"/>
        </w:rPr>
        <w:footnoteReference w:id="13"/>
      </w:r>
      <w:r w:rsidRPr="001C7BD8">
        <w:t xml:space="preserve"> depuis le 30 juin 2014.</w:t>
      </w:r>
    </w:p>
    <w:p w:rsidR="00EA5800" w:rsidRDefault="00EA5800" w:rsidP="00BF0A5E">
      <w:pPr>
        <w:pStyle w:val="3-Titre2"/>
        <w:rPr>
          <w:color w:val="F47920" w:themeColor="accent3"/>
        </w:rPr>
      </w:pPr>
    </w:p>
    <w:p w:rsidR="00BF0A5E" w:rsidRPr="00415E6E" w:rsidRDefault="00BF0A5E" w:rsidP="00BF0A5E">
      <w:pPr>
        <w:pStyle w:val="3-Titre2"/>
      </w:pPr>
      <w:r w:rsidRPr="00000638">
        <w:rPr>
          <w:color w:val="F47920" w:themeColor="accent3"/>
        </w:rPr>
        <w:lastRenderedPageBreak/>
        <w:t>2.3</w:t>
      </w:r>
      <w:r w:rsidRPr="00000638">
        <w:rPr>
          <w:color w:val="F47920" w:themeColor="accent3"/>
        </w:rPr>
        <w:tab/>
      </w:r>
      <w:r w:rsidRPr="00415E6E">
        <w:t xml:space="preserve">Liquidité : </w:t>
      </w:r>
      <w:r w:rsidR="004C57CF">
        <w:t>le programme de refinancement moyen-long terme pour 201</w:t>
      </w:r>
      <w:r w:rsidR="00EA5800">
        <w:t>5</w:t>
      </w:r>
      <w:r w:rsidR="004C57CF">
        <w:t xml:space="preserve"> réalisé à plus de 50 %</w:t>
      </w:r>
    </w:p>
    <w:p w:rsidR="00BF0A5E" w:rsidRPr="001F0A11" w:rsidRDefault="00BF0A5E" w:rsidP="00BF0A5E">
      <w:pPr>
        <w:pStyle w:val="2-TEXTECOURANTcommuniqu"/>
      </w:pPr>
      <w:r w:rsidRPr="001C7BD8">
        <w:t xml:space="preserve">L’accès du Groupe BPCE aux grands marchés de dette lui a permis de lever, au total, 13,7 milliards d’euros de ressources à moyen-long terme (MLT) au 22 avril 2015 (soit 55 % du programme 2015). Sur ces 13,7 milliards d’euros, 11,1 milliards d’euros ont été levés sur le pool de </w:t>
      </w:r>
      <w:r w:rsidRPr="001F0A11">
        <w:t>refinancement MLT de BPCE et 2,6 milliards d’euros sur le pool de refinancement MLT du CFF.</w:t>
      </w:r>
    </w:p>
    <w:p w:rsidR="001F0A11" w:rsidRPr="001F0A11" w:rsidRDefault="001F0A11" w:rsidP="001F0A11">
      <w:pPr>
        <w:pStyle w:val="2-TEXTECOURANTcommuniqu"/>
      </w:pPr>
      <w:r w:rsidRPr="001F0A11">
        <w:t xml:space="preserve">La durée moyenne à l’émission est de 5,4 ans et le taux moyen </w:t>
      </w:r>
      <w:r w:rsidR="00AE690F">
        <w:t>est de</w:t>
      </w:r>
      <w:r w:rsidRPr="001F0A11">
        <w:t xml:space="preserve"> </w:t>
      </w:r>
      <w:proofErr w:type="spellStart"/>
      <w:r w:rsidRPr="001F0A11">
        <w:t>mid</w:t>
      </w:r>
      <w:proofErr w:type="spellEnd"/>
      <w:r w:rsidRPr="001F0A11">
        <w:t xml:space="preserve">-swap + 32 </w:t>
      </w:r>
      <w:proofErr w:type="spellStart"/>
      <w:r w:rsidRPr="001F0A11">
        <w:t>pb</w:t>
      </w:r>
      <w:proofErr w:type="spellEnd"/>
      <w:r w:rsidRPr="001F0A11">
        <w:t xml:space="preserve">. </w:t>
      </w:r>
    </w:p>
    <w:p w:rsidR="001F0A11" w:rsidRDefault="001F0A11" w:rsidP="00BF0A5E">
      <w:pPr>
        <w:pStyle w:val="2-TEXTECOURANTcommuniqu"/>
      </w:pPr>
    </w:p>
    <w:p w:rsidR="00BF0A5E" w:rsidRDefault="00BF0A5E" w:rsidP="00BF0A5E">
      <w:pPr>
        <w:pStyle w:val="2-TEXTECOURANTcommuniqu"/>
      </w:pPr>
      <w:r w:rsidRPr="001C7BD8">
        <w:t>Pour rappel, le programme d’émissions moyen-long terme prévu pour 2015 vise un montant de 25</w:t>
      </w:r>
      <w:r w:rsidR="000031BB">
        <w:t> </w:t>
      </w:r>
      <w:r w:rsidRPr="001C7BD8">
        <w:t>milliards d’euros à répartir entre le pool de refinancement MLT de BPCE (20 milliards d’euros) et le pool de refinancement MLT du CFF (5 milliards d’euros).</w:t>
      </w:r>
    </w:p>
    <w:p w:rsidR="00014DA1" w:rsidRDefault="00014DA1" w:rsidP="00BF0A5E">
      <w:pPr>
        <w:pStyle w:val="2-TEXTECOURANTcommuniqu"/>
      </w:pPr>
    </w:p>
    <w:p w:rsidR="00696668" w:rsidRPr="001F0A11" w:rsidRDefault="00014DA1" w:rsidP="00696668">
      <w:pPr>
        <w:pStyle w:val="2-TEXTECOURANTcommuniqu"/>
      </w:pPr>
      <w:r>
        <w:t>Au 22 avril 2015, 52 % du refinancement MLT du Groupe BPCE a été réalisé sous la forme d’émissions publiques (48</w:t>
      </w:r>
      <w:r w:rsidR="000B739A">
        <w:t> </w:t>
      </w:r>
      <w:r>
        <w:t xml:space="preserve">% de placements privés) et </w:t>
      </w:r>
      <w:r w:rsidR="001F0A11" w:rsidRPr="001F0A11">
        <w:t>73</w:t>
      </w:r>
      <w:r w:rsidR="000B739A">
        <w:t> </w:t>
      </w:r>
      <w:r w:rsidR="00696668" w:rsidRPr="001F0A11">
        <w:t xml:space="preserve">% sous la forme d’émissions non sécurisées </w:t>
      </w:r>
      <w:r w:rsidR="00D74149">
        <w:t>(</w:t>
      </w:r>
      <w:r w:rsidR="001F0A11" w:rsidRPr="001F0A11">
        <w:t>27</w:t>
      </w:r>
      <w:r w:rsidR="00696668" w:rsidRPr="001F0A11">
        <w:t xml:space="preserve"> % </w:t>
      </w:r>
      <w:r w:rsidR="00D74149">
        <w:t>d’</w:t>
      </w:r>
      <w:r w:rsidR="00696668" w:rsidRPr="001F0A11">
        <w:t>émissions sécurisées</w:t>
      </w:r>
      <w:r w:rsidR="00D74149">
        <w:t>)</w:t>
      </w:r>
      <w:r w:rsidR="00696668" w:rsidRPr="001F0A11">
        <w:t xml:space="preserve">. </w:t>
      </w:r>
    </w:p>
    <w:p w:rsidR="00696668" w:rsidRPr="002B3D74" w:rsidRDefault="00696668" w:rsidP="00696668">
      <w:pPr>
        <w:pStyle w:val="2-TEXTECOURANTcommuniqu"/>
        <w:rPr>
          <w:color w:val="FF0000"/>
        </w:rPr>
      </w:pPr>
    </w:p>
    <w:p w:rsidR="00696668" w:rsidRPr="002B3D74" w:rsidRDefault="006D2017" w:rsidP="00696668">
      <w:pPr>
        <w:pStyle w:val="2-TEXTECOURANTcommuniqu"/>
        <w:rPr>
          <w:color w:val="FF0000"/>
        </w:rPr>
      </w:pPr>
      <w:r w:rsidRPr="00B94009">
        <w:t xml:space="preserve">Le Groupe BPCE continue de lever des montants importants grâce à une diversification accrue de sa base d’investisseurs. </w:t>
      </w:r>
      <w:r w:rsidR="00696668" w:rsidRPr="00B94009">
        <w:t>Ainsi</w:t>
      </w:r>
      <w:r w:rsidR="00B94009" w:rsidRPr="00B94009">
        <w:t>, 42</w:t>
      </w:r>
      <w:r w:rsidR="00696668" w:rsidRPr="00B94009">
        <w:t xml:space="preserve"> % des émissions non sécurisées sur l</w:t>
      </w:r>
      <w:r w:rsidR="00975425">
        <w:t xml:space="preserve">e marché des institutionnels </w:t>
      </w:r>
      <w:r w:rsidR="00696668" w:rsidRPr="006D1A95">
        <w:t xml:space="preserve">ont été effectuées en devises autres que l’euro (notamment </w:t>
      </w:r>
      <w:r w:rsidR="006D1A95" w:rsidRPr="006D1A95">
        <w:t xml:space="preserve">18 % en dollar américain et 12 % </w:t>
      </w:r>
      <w:r w:rsidR="00696668" w:rsidRPr="006D1A95">
        <w:t xml:space="preserve">en yen). </w:t>
      </w:r>
    </w:p>
    <w:p w:rsidR="00696668" w:rsidRPr="002B3D74" w:rsidRDefault="00696668" w:rsidP="00696668">
      <w:pPr>
        <w:pStyle w:val="2-TEXTECOURANTcommuniqu"/>
        <w:rPr>
          <w:color w:val="FF0000"/>
        </w:rPr>
      </w:pPr>
    </w:p>
    <w:p w:rsidR="0069247C" w:rsidRPr="006E3737" w:rsidRDefault="0069247C" w:rsidP="006E3737">
      <w:pPr>
        <w:pStyle w:val="Boldviolet"/>
      </w:pPr>
      <w:r w:rsidRPr="004E65E5">
        <w:rPr>
          <w:color w:val="FF0000"/>
          <w:sz w:val="14"/>
          <w:szCs w:val="14"/>
        </w:rPr>
        <w:br w:type="page"/>
      </w:r>
    </w:p>
    <w:p w:rsidR="0069247C" w:rsidRDefault="00602E64" w:rsidP="0069247C">
      <w:pPr>
        <w:pStyle w:val="3-Titre1"/>
      </w:pPr>
      <w:r>
        <w:rPr>
          <w:rStyle w:val="orange"/>
        </w:rPr>
        <w:lastRenderedPageBreak/>
        <w:t>3</w:t>
      </w:r>
      <w:r w:rsidR="0069247C" w:rsidRPr="0069247C">
        <w:rPr>
          <w:rStyle w:val="orange"/>
        </w:rPr>
        <w:t>.</w:t>
      </w:r>
      <w:r w:rsidR="0069247C">
        <w:tab/>
        <w:t>RÉSULTATS</w:t>
      </w:r>
      <w:bookmarkStart w:id="8" w:name="_Ref414265226"/>
      <w:r w:rsidR="00E748BA">
        <w:rPr>
          <w:rStyle w:val="Appelnotedebasdep"/>
        </w:rPr>
        <w:footnoteReference w:id="14"/>
      </w:r>
      <w:bookmarkEnd w:id="8"/>
      <w:r w:rsidR="003A4476">
        <w:t xml:space="preserve"> </w:t>
      </w:r>
      <w:r w:rsidR="0069247C">
        <w:t xml:space="preserve">DES MÉTIERS : </w:t>
      </w:r>
      <w:r w:rsidR="0069247C" w:rsidRPr="00A25990">
        <w:t xml:space="preserve">UNE ACTIVITÉ COMMERCIALE </w:t>
      </w:r>
      <w:r w:rsidR="00B74F1A" w:rsidRPr="00A25990">
        <w:t>SOUTENUE</w:t>
      </w:r>
    </w:p>
    <w:p w:rsidR="0069247C" w:rsidRDefault="00602E64" w:rsidP="0069247C">
      <w:pPr>
        <w:pStyle w:val="3-Titre2"/>
      </w:pPr>
      <w:r>
        <w:rPr>
          <w:rStyle w:val="orange"/>
        </w:rPr>
        <w:t>3</w:t>
      </w:r>
      <w:r w:rsidR="0069247C" w:rsidRPr="0069247C">
        <w:rPr>
          <w:rStyle w:val="orange"/>
        </w:rPr>
        <w:t>.1</w:t>
      </w:r>
      <w:r w:rsidR="0069247C">
        <w:t xml:space="preserve"> Banque commerciale et Assurance : </w:t>
      </w:r>
      <w:r w:rsidR="008075E1" w:rsidRPr="00A25990">
        <w:t>fort développement de la collecte et activité crédit soutenue dans un contexte de taux très bas</w:t>
      </w:r>
    </w:p>
    <w:p w:rsidR="00470A06" w:rsidRPr="001A4AE4" w:rsidRDefault="00470A06" w:rsidP="00453D34">
      <w:pPr>
        <w:pStyle w:val="intro"/>
      </w:pPr>
      <w:r w:rsidRPr="001A4AE4">
        <w:t>Le métier Banque commerciale et Assurance regroupe les activités du réseau Banque Populaire, du réseau Caisse d’Epargne</w:t>
      </w:r>
      <w:r w:rsidR="003C6574">
        <w:t xml:space="preserve"> </w:t>
      </w:r>
      <w:r w:rsidRPr="001A4AE4">
        <w:t xml:space="preserve">et des Autres réseaux comprenant </w:t>
      </w:r>
      <w:r w:rsidR="003C6574">
        <w:t xml:space="preserve">les filiales </w:t>
      </w:r>
      <w:r w:rsidRPr="001A4AE4">
        <w:t>BPCE IOM, Banque Palatine</w:t>
      </w:r>
      <w:r w:rsidR="003C6574">
        <w:t>, Crédit Foncier</w:t>
      </w:r>
      <w:r w:rsidRPr="001A4AE4">
        <w:t xml:space="preserve"> et </w:t>
      </w:r>
      <w:r w:rsidR="003C6574">
        <w:t>la participation minoritaire dans CNP Assurances</w:t>
      </w:r>
      <w:r w:rsidRPr="001A4AE4">
        <w:t>.</w:t>
      </w:r>
    </w:p>
    <w:p w:rsidR="00470A06" w:rsidRPr="002B3D74" w:rsidRDefault="00470A06" w:rsidP="00470A06">
      <w:pPr>
        <w:pStyle w:val="2-TEXTECOURANTcommuniqu"/>
        <w:rPr>
          <w:color w:val="FF0000"/>
        </w:rPr>
      </w:pPr>
    </w:p>
    <w:p w:rsidR="00470A06" w:rsidRPr="00F66236" w:rsidRDefault="00470A06" w:rsidP="00470A06">
      <w:pPr>
        <w:pStyle w:val="2-TEXTECOURANTcommuniqu"/>
      </w:pPr>
      <w:r w:rsidRPr="00F66236">
        <w:t xml:space="preserve">Les Banques Populaires et les Caisses d’Epargne </w:t>
      </w:r>
      <w:r w:rsidR="003A2CB2" w:rsidRPr="00444E1F">
        <w:t>enregistrent</w:t>
      </w:r>
      <w:r w:rsidRPr="00444E1F">
        <w:t xml:space="preserve"> des performances commerciales solides</w:t>
      </w:r>
      <w:r w:rsidRPr="002B3D74">
        <w:rPr>
          <w:color w:val="FF0000"/>
        </w:rPr>
        <w:t xml:space="preserve"> </w:t>
      </w:r>
      <w:r w:rsidRPr="001A4AE4">
        <w:t>pour le premier trimestre de l’année 2015</w:t>
      </w:r>
      <w:r w:rsidRPr="00F66236">
        <w:t>. Les encours d’épargne</w:t>
      </w:r>
      <w:r w:rsidR="00761630">
        <w:t xml:space="preserve"> </w:t>
      </w:r>
      <w:r w:rsidR="00F622D3">
        <w:t xml:space="preserve">totaux </w:t>
      </w:r>
      <w:r w:rsidRPr="00F66236">
        <w:t xml:space="preserve">s’établissent </w:t>
      </w:r>
      <w:r>
        <w:t>à 61</w:t>
      </w:r>
      <w:r w:rsidR="00D74149">
        <w:t>1 </w:t>
      </w:r>
      <w:r w:rsidRPr="007E0644">
        <w:t>milliards d’euros au 31 mars 2015</w:t>
      </w:r>
      <w:r w:rsidR="004F4E97">
        <w:t xml:space="preserve">, en </w:t>
      </w:r>
      <w:r>
        <w:t>hausse de 28</w:t>
      </w:r>
      <w:r w:rsidRPr="00F66236">
        <w:t xml:space="preserve"> milliards d’euros</w:t>
      </w:r>
      <w:r>
        <w:t xml:space="preserve"> sur un an</w:t>
      </w:r>
      <w:r w:rsidRPr="00F66236">
        <w:t xml:space="preserve">. </w:t>
      </w:r>
      <w:r w:rsidRPr="00F31127">
        <w:t>Cette croissance résulte principalement de l’augmentation de l’épargne de bilan</w:t>
      </w:r>
      <w:r w:rsidRPr="00F31127">
        <w:rPr>
          <w:rStyle w:val="Appelnotedebasdep"/>
        </w:rPr>
        <w:footnoteReference w:id="15"/>
      </w:r>
      <w:r w:rsidRPr="00F31127">
        <w:t xml:space="preserve">. </w:t>
      </w:r>
    </w:p>
    <w:p w:rsidR="00470A06" w:rsidRPr="002B3D74" w:rsidRDefault="00470A06" w:rsidP="00470A06">
      <w:pPr>
        <w:pStyle w:val="2-TEXTECOURANTcommuniqu"/>
        <w:rPr>
          <w:color w:val="FF0000"/>
        </w:rPr>
      </w:pPr>
    </w:p>
    <w:p w:rsidR="006A6B70" w:rsidRDefault="00470A06" w:rsidP="00470A06">
      <w:pPr>
        <w:pStyle w:val="2-TEXTECOURANTcommuniqu"/>
      </w:pPr>
      <w:r w:rsidRPr="00BA69B8">
        <w:t xml:space="preserve">Les encours de crédit </w:t>
      </w:r>
      <w:r w:rsidR="00F622D3">
        <w:t xml:space="preserve">s’établissent </w:t>
      </w:r>
      <w:r w:rsidRPr="00BA69B8">
        <w:t xml:space="preserve">à 382 milliards d’euros au 31 mars 2015. Ils ont augmenté de </w:t>
      </w:r>
      <w:r w:rsidRPr="000B0E6D">
        <w:t xml:space="preserve">3,0 % </w:t>
      </w:r>
      <w:r w:rsidRPr="00BA69B8">
        <w:t>sur un an, soit une progression de 11 milliards d’euros</w:t>
      </w:r>
      <w:r w:rsidR="00F622D3">
        <w:t>.</w:t>
      </w:r>
      <w:r w:rsidRPr="00BA69B8">
        <w:t xml:space="preserve"> </w:t>
      </w:r>
      <w:r w:rsidR="00F622D3">
        <w:t>L</w:t>
      </w:r>
      <w:r w:rsidR="00760001">
        <w:t>e</w:t>
      </w:r>
      <w:r w:rsidR="00F622D3">
        <w:t>s</w:t>
      </w:r>
      <w:r w:rsidR="00760001">
        <w:t xml:space="preserve"> crédit</w:t>
      </w:r>
      <w:r w:rsidR="00F622D3">
        <w:t>s</w:t>
      </w:r>
      <w:r w:rsidR="00760001">
        <w:t xml:space="preserve"> aux ménages</w:t>
      </w:r>
      <w:r w:rsidR="00F622D3">
        <w:t xml:space="preserve"> restent</w:t>
      </w:r>
      <w:r w:rsidR="00760001">
        <w:t xml:space="preserve"> dynamique</w:t>
      </w:r>
      <w:r w:rsidR="00F622D3">
        <w:t>s</w:t>
      </w:r>
      <w:r w:rsidR="00760001">
        <w:t xml:space="preserve">, </w:t>
      </w:r>
      <w:r w:rsidR="00F622D3">
        <w:t xml:space="preserve">notamment les encours de crédit à la consommation qui progressent de 4,7 % pour </w:t>
      </w:r>
      <w:r w:rsidR="007C7DB2">
        <w:t>les Banques Populaires et de 4,2</w:t>
      </w:r>
      <w:r w:rsidR="00F622D3">
        <w:t> % pour les Caisses d’Epargne</w:t>
      </w:r>
      <w:r w:rsidR="00F6054A">
        <w:t>.</w:t>
      </w:r>
      <w:r w:rsidR="00F622D3">
        <w:t xml:space="preserve"> Le trimestre est également marqué par une reprise du crédit aux entreprises. </w:t>
      </w:r>
      <w:r w:rsidRPr="00046924">
        <w:t xml:space="preserve">Les Banques Populaires ont </w:t>
      </w:r>
      <w:r w:rsidR="00F622D3">
        <w:t xml:space="preserve">ainsi </w:t>
      </w:r>
      <w:r w:rsidRPr="00046924">
        <w:t xml:space="preserve">accordé davantage de crédits à l’équipement au premier trimestre </w:t>
      </w:r>
      <w:r w:rsidRPr="001B6DFE">
        <w:t>2015</w:t>
      </w:r>
      <w:r w:rsidR="00F622D3">
        <w:t> : + </w:t>
      </w:r>
      <w:r w:rsidRPr="001B6DFE">
        <w:t>11 % par rapport au premier trimestre 2014.</w:t>
      </w:r>
      <w:r w:rsidR="00F622D3">
        <w:t xml:space="preserve"> En parallèle, </w:t>
      </w:r>
      <w:r w:rsidRPr="001B6DFE">
        <w:t xml:space="preserve">les </w:t>
      </w:r>
      <w:r w:rsidR="00F622D3">
        <w:t xml:space="preserve">crédits accordés par les </w:t>
      </w:r>
      <w:r w:rsidRPr="001B6DFE">
        <w:t xml:space="preserve">Caisses d’Epargne </w:t>
      </w:r>
      <w:r w:rsidR="00F622D3">
        <w:t xml:space="preserve">aux entreprises </w:t>
      </w:r>
      <w:r w:rsidRPr="001B6DFE">
        <w:t xml:space="preserve">ont </w:t>
      </w:r>
      <w:r w:rsidR="00F622D3">
        <w:t xml:space="preserve">augmenté </w:t>
      </w:r>
      <w:r w:rsidR="006A6B70">
        <w:t xml:space="preserve">de </w:t>
      </w:r>
      <w:r w:rsidR="00F622D3">
        <w:t>27</w:t>
      </w:r>
      <w:r w:rsidR="006A6B70">
        <w:t> %.</w:t>
      </w:r>
    </w:p>
    <w:p w:rsidR="006A6B70" w:rsidRPr="006A6B70" w:rsidRDefault="006A6B70" w:rsidP="00470A06">
      <w:pPr>
        <w:pStyle w:val="2-TEXTECOURANTcommuniqu"/>
      </w:pPr>
    </w:p>
    <w:p w:rsidR="00470A06" w:rsidRDefault="00F80459">
      <w:pPr>
        <w:pStyle w:val="2-TEXTECOURANTcommuniqu"/>
      </w:pPr>
      <w:r>
        <w:t xml:space="preserve">Outre son </w:t>
      </w:r>
      <w:r w:rsidR="00F6054A">
        <w:t>rôle actif dans le financement de l’</w:t>
      </w:r>
      <w:r>
        <w:t>économie, le Groupe BPCE, t</w:t>
      </w:r>
      <w:r w:rsidR="00470A06" w:rsidRPr="009670B7">
        <w:t>ourné vers l’innovation</w:t>
      </w:r>
      <w:r>
        <w:t xml:space="preserve"> et les nouveaux usages</w:t>
      </w:r>
      <w:r w:rsidR="00470A06">
        <w:t xml:space="preserve">, </w:t>
      </w:r>
      <w:r>
        <w:t xml:space="preserve">se distingue également au travers </w:t>
      </w:r>
      <w:r w:rsidR="00470A06" w:rsidRPr="0009540D">
        <w:t xml:space="preserve">de nombreuses initiatives dans le domaine du digital </w:t>
      </w:r>
      <w:r>
        <w:t>afin de</w:t>
      </w:r>
      <w:r w:rsidR="00470A06" w:rsidRPr="0009540D">
        <w:t xml:space="preserve"> réinventer la relation client. </w:t>
      </w:r>
      <w:r w:rsidR="0004237C">
        <w:t>Le déploiement de la signature électronique s’est poursuivi au premier trimestre avec 80 % de l’offre éligible en agence et 100 % en vente à distance. Ainsi 388 225 contrats ont été signés électroniquement sur le trimestre, dans les réseaux Banque Populaire et Caisse d’Epargne (+ 61</w:t>
      </w:r>
      <w:r w:rsidR="001C14EE">
        <w:t> </w:t>
      </w:r>
      <w:r w:rsidR="0004237C">
        <w:t>% par rapport au quatrième trimestre 2014).</w:t>
      </w:r>
    </w:p>
    <w:p w:rsidR="0004237C" w:rsidRPr="00E90B43" w:rsidRDefault="0004237C">
      <w:pPr>
        <w:pStyle w:val="2-TEXTECOURANTcommuniqu"/>
        <w:rPr>
          <w:b/>
          <w:color w:val="FF0000"/>
        </w:rPr>
      </w:pPr>
    </w:p>
    <w:p w:rsidR="002A5EFD" w:rsidRDefault="002A5EFD" w:rsidP="002A5EFD">
      <w:pPr>
        <w:pStyle w:val="2-TEXTECOURANTcommuniqu"/>
        <w:rPr>
          <w:color w:val="FF0000"/>
        </w:rPr>
      </w:pPr>
    </w:p>
    <w:p w:rsidR="0069247C" w:rsidRPr="00453D34" w:rsidRDefault="0069247C" w:rsidP="008E2B05">
      <w:pPr>
        <w:pStyle w:val="4-Soustitre"/>
        <w:rPr>
          <w:spacing w:val="-5"/>
        </w:rPr>
      </w:pPr>
      <w:r w:rsidRPr="00453D34">
        <w:rPr>
          <w:spacing w:val="-5"/>
        </w:rPr>
        <w:t>Résultats financiers</w:t>
      </w:r>
      <w:r w:rsidR="00445A67" w:rsidRPr="00453D34">
        <w:rPr>
          <w:spacing w:val="-5"/>
        </w:rPr>
        <w:fldChar w:fldCharType="begin"/>
      </w:r>
      <w:r w:rsidR="00445A67" w:rsidRPr="00453D34">
        <w:rPr>
          <w:spacing w:val="-5"/>
        </w:rPr>
        <w:instrText xml:space="preserve"> NOTEREF _Ref414265226 \f \h </w:instrText>
      </w:r>
      <w:r w:rsidR="005547E2" w:rsidRPr="00453D34">
        <w:rPr>
          <w:spacing w:val="-5"/>
        </w:rPr>
        <w:instrText xml:space="preserve"> \* MERGEFORMAT </w:instrText>
      </w:r>
      <w:r w:rsidR="00445A67" w:rsidRPr="00453D34">
        <w:rPr>
          <w:spacing w:val="-5"/>
        </w:rPr>
      </w:r>
      <w:r w:rsidR="00445A67" w:rsidRPr="00453D34">
        <w:rPr>
          <w:spacing w:val="-5"/>
        </w:rPr>
        <w:fldChar w:fldCharType="separate"/>
      </w:r>
      <w:r w:rsidR="000E7E26" w:rsidRPr="000E7E26">
        <w:rPr>
          <w:rStyle w:val="Appelnotedebasdep"/>
        </w:rPr>
        <w:t>14</w:t>
      </w:r>
      <w:r w:rsidR="00445A67" w:rsidRPr="00453D34">
        <w:rPr>
          <w:spacing w:val="-5"/>
        </w:rPr>
        <w:fldChar w:fldCharType="end"/>
      </w:r>
      <w:r w:rsidR="00445A67" w:rsidRPr="00453D34">
        <w:rPr>
          <w:spacing w:val="-5"/>
        </w:rPr>
        <w:t xml:space="preserve"> </w:t>
      </w:r>
      <w:r w:rsidR="00AB54E5" w:rsidRPr="00453D34">
        <w:rPr>
          <w:spacing w:val="-5"/>
        </w:rPr>
        <w:t>du premier trimestre 2015</w:t>
      </w:r>
      <w:r w:rsidRPr="00453D34">
        <w:rPr>
          <w:spacing w:val="-5"/>
        </w:rPr>
        <w:t xml:space="preserve"> de la Banque commerciale et Assurance </w:t>
      </w:r>
    </w:p>
    <w:p w:rsidR="00D93B2D" w:rsidRDefault="0024634D" w:rsidP="0024634D">
      <w:pPr>
        <w:pStyle w:val="2-TEXTECOURANTcommuniqu"/>
      </w:pPr>
      <w:r w:rsidRPr="002C2E30">
        <w:t xml:space="preserve">Les </w:t>
      </w:r>
      <w:r w:rsidRPr="002C2E30">
        <w:rPr>
          <w:b/>
        </w:rPr>
        <w:t>revenus</w:t>
      </w:r>
      <w:r w:rsidRPr="002C2E30">
        <w:t xml:space="preserve"> de la Banque commerciale et Assurance s’établissent à </w:t>
      </w:r>
      <w:r>
        <w:t>3 962</w:t>
      </w:r>
      <w:r w:rsidRPr="002C2E30">
        <w:t xml:space="preserve"> millions d’euros</w:t>
      </w:r>
      <w:bookmarkStart w:id="9" w:name="_Ref414265235"/>
      <w:r w:rsidRPr="002C2E30">
        <w:rPr>
          <w:rStyle w:val="Appelnotedebasdep"/>
        </w:rPr>
        <w:footnoteReference w:id="16"/>
      </w:r>
      <w:bookmarkEnd w:id="9"/>
      <w:r w:rsidRPr="002C2E30">
        <w:t xml:space="preserve"> au premier trimestre 2015</w:t>
      </w:r>
      <w:r w:rsidRPr="001D3CA0">
        <w:t xml:space="preserve">, soit une croissance de 5,0 % par rapport au premier trimestre 2014. </w:t>
      </w:r>
    </w:p>
    <w:p w:rsidR="00B10B1F" w:rsidRPr="00F73C5E" w:rsidRDefault="00B10B1F" w:rsidP="0024634D">
      <w:pPr>
        <w:pStyle w:val="2-TEXTECOURANTcommuniqu"/>
        <w:rPr>
          <w:color w:val="FF0000"/>
        </w:rPr>
      </w:pPr>
    </w:p>
    <w:p w:rsidR="00D819D3" w:rsidRDefault="004E1C5B" w:rsidP="0024634D">
      <w:pPr>
        <w:pStyle w:val="2-TEXTECOURANTcommuniqu"/>
      </w:pPr>
      <w:r w:rsidRPr="00117FD9">
        <w:t xml:space="preserve">Dans un contexte de taux bas persistant, la marge nette d’intérêt </w:t>
      </w:r>
      <w:r w:rsidR="006060A1">
        <w:t xml:space="preserve">clientèle </w:t>
      </w:r>
      <w:r w:rsidRPr="00117FD9">
        <w:t>reste sous pression.</w:t>
      </w:r>
    </w:p>
    <w:p w:rsidR="00D93B2D" w:rsidRPr="00117FD9" w:rsidRDefault="00D819D3" w:rsidP="0024634D">
      <w:pPr>
        <w:pStyle w:val="2-TEXTECOURANTcommuniqu"/>
      </w:pPr>
      <w:r>
        <w:t xml:space="preserve">Les </w:t>
      </w:r>
      <w:r w:rsidRPr="00117FD9">
        <w:t>commissions sur l’activité crédit</w:t>
      </w:r>
      <w:r>
        <w:t xml:space="preserve"> ont fortement augmenté en raison du </w:t>
      </w:r>
      <w:r w:rsidR="00267B80" w:rsidRPr="00117FD9">
        <w:t>nombre accru de renégociations et de remboursements anticipés</w:t>
      </w:r>
      <w:r>
        <w:t xml:space="preserve">. Les </w:t>
      </w:r>
      <w:r w:rsidR="00267B80" w:rsidRPr="00117FD9">
        <w:t xml:space="preserve">commissions liées à l’équipement </w:t>
      </w:r>
      <w:r>
        <w:t xml:space="preserve">de la clientèle </w:t>
      </w:r>
      <w:r w:rsidR="001C14EE">
        <w:t>ont progressé</w:t>
      </w:r>
      <w:r>
        <w:t>, portées notamment par les f</w:t>
      </w:r>
      <w:r w:rsidR="00267B80" w:rsidRPr="00117FD9">
        <w:t xml:space="preserve">orfaits et </w:t>
      </w:r>
      <w:r>
        <w:t>l’</w:t>
      </w:r>
      <w:r w:rsidR="00267B80" w:rsidRPr="00117FD9">
        <w:t>assurance IARD</w:t>
      </w:r>
      <w:r>
        <w:t>.</w:t>
      </w:r>
      <w:r w:rsidR="00267B80" w:rsidRPr="00117FD9">
        <w:t xml:space="preserve"> </w:t>
      </w:r>
    </w:p>
    <w:p w:rsidR="0024634D" w:rsidRDefault="0024634D" w:rsidP="0024634D">
      <w:pPr>
        <w:pStyle w:val="2-TEXTECOURANTcommuniqu"/>
      </w:pPr>
    </w:p>
    <w:p w:rsidR="00047827" w:rsidRPr="00047827" w:rsidRDefault="00047827" w:rsidP="00047827">
      <w:pPr>
        <w:pStyle w:val="2-TEXTECOURANTcommuniqu"/>
      </w:pPr>
      <w:r w:rsidRPr="00047827">
        <w:t xml:space="preserve">Les </w:t>
      </w:r>
      <w:r w:rsidRPr="00047827">
        <w:rPr>
          <w:b/>
        </w:rPr>
        <w:t>frais de gestion</w:t>
      </w:r>
      <w:r w:rsidRPr="00047827">
        <w:t xml:space="preserve"> sont maîtrisés (-</w:t>
      </w:r>
      <w:r w:rsidR="001C14EE">
        <w:t> </w:t>
      </w:r>
      <w:r w:rsidRPr="00047827">
        <w:t>0,5 %) sur un an, s’établissant à 2 604 millions d’euros au 31 mars 2015.</w:t>
      </w:r>
    </w:p>
    <w:p w:rsidR="00047827" w:rsidRPr="00A25676" w:rsidRDefault="00047827" w:rsidP="0024634D">
      <w:pPr>
        <w:pStyle w:val="2-TEXTECOURANTcommuniqu"/>
      </w:pPr>
    </w:p>
    <w:p w:rsidR="0024634D" w:rsidRPr="00A25676" w:rsidRDefault="0024634D" w:rsidP="0024634D">
      <w:pPr>
        <w:pStyle w:val="2-TEXTECOURANTcommuniqu"/>
      </w:pPr>
      <w:r w:rsidRPr="00A25676">
        <w:t xml:space="preserve">Le </w:t>
      </w:r>
      <w:r w:rsidRPr="00A25676">
        <w:rPr>
          <w:b/>
        </w:rPr>
        <w:t>résultat brut d’exploitation</w:t>
      </w:r>
      <w:r w:rsidRPr="00A25676">
        <w:t xml:space="preserve"> s’établit à 1 347 millions d’euros, en hausse de 16,5 % par rapport au premier trimestre 2014.</w:t>
      </w:r>
    </w:p>
    <w:p w:rsidR="0024634D" w:rsidRPr="002B3D74" w:rsidRDefault="0024634D" w:rsidP="0024634D">
      <w:pPr>
        <w:pStyle w:val="2-TEXTECOURANTcommuniqu"/>
        <w:rPr>
          <w:color w:val="FF0000"/>
        </w:rPr>
      </w:pPr>
    </w:p>
    <w:p w:rsidR="0024634D" w:rsidRDefault="0024634D" w:rsidP="0024634D">
      <w:pPr>
        <w:pStyle w:val="2-TEXTECOURANTcommuniqu"/>
      </w:pPr>
      <w:r w:rsidRPr="00FB580E">
        <w:t xml:space="preserve">La </w:t>
      </w:r>
      <w:r w:rsidRPr="00FB580E">
        <w:rPr>
          <w:b/>
        </w:rPr>
        <w:t>contribution de la Banque commerciale et Assurance au résultat avant impôt</w:t>
      </w:r>
      <w:r w:rsidR="00387A9D">
        <w:rPr>
          <w:b/>
        </w:rPr>
        <w:t xml:space="preserve"> </w:t>
      </w:r>
      <w:r w:rsidRPr="00FB580E">
        <w:rPr>
          <w:b/>
        </w:rPr>
        <w:t>du groupe</w:t>
      </w:r>
      <w:r w:rsidRPr="00FB580E">
        <w:t xml:space="preserve"> s’établit à </w:t>
      </w:r>
      <w:r w:rsidR="00BF20C0">
        <w:t xml:space="preserve">1 012 </w:t>
      </w:r>
      <w:r w:rsidRPr="00FB580E">
        <w:t xml:space="preserve">millions d’euros à la fin du premier trimestre 2015, en </w:t>
      </w:r>
      <w:r w:rsidR="00BF20C0">
        <w:t>hausse de 16,7 </w:t>
      </w:r>
      <w:r w:rsidRPr="00FB580E">
        <w:t xml:space="preserve">% par rapport au premier trimestre de l’année 2014. </w:t>
      </w:r>
    </w:p>
    <w:p w:rsidR="006B7E7B" w:rsidRDefault="006B7E7B" w:rsidP="0024634D">
      <w:pPr>
        <w:pStyle w:val="2-TEXTECOURANTcommuniqu"/>
      </w:pPr>
    </w:p>
    <w:p w:rsidR="00201BB3" w:rsidRDefault="00201BB3" w:rsidP="00201BB3">
      <w:pPr>
        <w:pStyle w:val="2-TEXTECOURANTcommuniqu"/>
      </w:pPr>
      <w:r w:rsidRPr="0089517B">
        <w:lastRenderedPageBreak/>
        <w:t xml:space="preserve">En </w:t>
      </w:r>
      <w:r w:rsidR="00B7388A">
        <w:t>retraitant</w:t>
      </w:r>
      <w:r w:rsidRPr="0089517B">
        <w:t xml:space="preserve"> l’i</w:t>
      </w:r>
      <w:r w:rsidR="00B7388A">
        <w:t>mpact de l’</w:t>
      </w:r>
      <w:r w:rsidRPr="0089517B">
        <w:t xml:space="preserve">IFRIC 21, </w:t>
      </w:r>
      <w:r w:rsidRPr="0089517B">
        <w:rPr>
          <w:b/>
        </w:rPr>
        <w:t xml:space="preserve">le résultat avant impôt </w:t>
      </w:r>
      <w:r w:rsidRPr="0089517B">
        <w:t xml:space="preserve">s’élève à </w:t>
      </w:r>
      <w:r>
        <w:t>1 140</w:t>
      </w:r>
      <w:r w:rsidRPr="0089517B">
        <w:t xml:space="preserve"> millions d’euros, soit une hausse de </w:t>
      </w:r>
      <w:r>
        <w:t>11,5</w:t>
      </w:r>
      <w:r w:rsidRPr="0089517B">
        <w:t xml:space="preserve"> % sur un an.</w:t>
      </w:r>
      <w:r w:rsidR="006C6BF8">
        <w:t xml:space="preserve"> </w:t>
      </w:r>
      <w:r w:rsidR="006C6BF8" w:rsidRPr="004E0548">
        <w:t xml:space="preserve">Les Caisses d’Epargne contribuent à hauteur de </w:t>
      </w:r>
      <w:r w:rsidR="006C6BF8">
        <w:t>47 </w:t>
      </w:r>
      <w:r w:rsidR="006C6BF8" w:rsidRPr="004E0548">
        <w:t xml:space="preserve">% à ce résultat, les Banques Populaires à </w:t>
      </w:r>
      <w:r w:rsidR="006C6BF8">
        <w:t>39</w:t>
      </w:r>
      <w:r w:rsidR="006C6BF8" w:rsidRPr="004E0548">
        <w:t xml:space="preserve"> %, et les Autres réseaux </w:t>
      </w:r>
      <w:r w:rsidR="006C6BF8">
        <w:t>à 14</w:t>
      </w:r>
      <w:r w:rsidR="006C6BF8" w:rsidRPr="004E0548">
        <w:t> %.</w:t>
      </w:r>
    </w:p>
    <w:p w:rsidR="00013367" w:rsidRPr="006364BE" w:rsidRDefault="00445A67" w:rsidP="00013367">
      <w:pPr>
        <w:pStyle w:val="2-TEXTECOURANTcommuniqu"/>
      </w:pPr>
      <w:r w:rsidRPr="002A3634">
        <w:t xml:space="preserve">Le </w:t>
      </w:r>
      <w:r w:rsidRPr="002A3634">
        <w:rPr>
          <w:b/>
        </w:rPr>
        <w:t>coefficient d’exploitation</w:t>
      </w:r>
      <w:bookmarkStart w:id="10" w:name="_Ref418528614"/>
      <w:r w:rsidRPr="00DA68D8">
        <w:rPr>
          <w:rStyle w:val="Appelnotedebasdep"/>
        </w:rPr>
        <w:footnoteReference w:id="17"/>
      </w:r>
      <w:bookmarkEnd w:id="10"/>
      <w:r w:rsidRPr="00BB3B12">
        <w:t xml:space="preserve"> </w:t>
      </w:r>
      <w:r>
        <w:t>s’améliore</w:t>
      </w:r>
      <w:r w:rsidRPr="002A3634">
        <w:t xml:space="preserve"> de</w:t>
      </w:r>
      <w:r w:rsidR="00D819D3">
        <w:t xml:space="preserve"> 2</w:t>
      </w:r>
      <w:r w:rsidRPr="002A3634">
        <w:t>,</w:t>
      </w:r>
      <w:r w:rsidR="00D819D3">
        <w:t>6</w:t>
      </w:r>
      <w:r w:rsidRPr="002A3634">
        <w:t xml:space="preserve"> points par ra</w:t>
      </w:r>
      <w:r>
        <w:t>pport au premier trimestre 2014, à 6</w:t>
      </w:r>
      <w:r w:rsidR="00D819D3">
        <w:t>2</w:t>
      </w:r>
      <w:r>
        <w:t>,</w:t>
      </w:r>
      <w:r w:rsidR="00D819D3">
        <w:t>7</w:t>
      </w:r>
      <w:r>
        <w:t> %.</w:t>
      </w:r>
      <w:r w:rsidR="006364BE">
        <w:t xml:space="preserve"> L</w:t>
      </w:r>
      <w:r w:rsidR="00013367" w:rsidRPr="006364BE">
        <w:t xml:space="preserve">e </w:t>
      </w:r>
      <w:r w:rsidR="00013367" w:rsidRPr="006364BE">
        <w:rPr>
          <w:b/>
        </w:rPr>
        <w:t>ROE</w:t>
      </w:r>
      <w:r w:rsidR="00D819D3">
        <w:rPr>
          <w:b/>
        </w:rPr>
        <w:fldChar w:fldCharType="begin"/>
      </w:r>
      <w:r w:rsidR="00D819D3">
        <w:rPr>
          <w:b/>
        </w:rPr>
        <w:instrText xml:space="preserve"> NOTEREF _Ref418528614 \f \h </w:instrText>
      </w:r>
      <w:r w:rsidR="00D819D3">
        <w:rPr>
          <w:b/>
        </w:rPr>
      </w:r>
      <w:r w:rsidR="00D819D3">
        <w:rPr>
          <w:b/>
        </w:rPr>
        <w:fldChar w:fldCharType="separate"/>
      </w:r>
      <w:r w:rsidR="000E7E26" w:rsidRPr="000E7E26">
        <w:rPr>
          <w:rStyle w:val="Appelnotedebasdep"/>
        </w:rPr>
        <w:t>17</w:t>
      </w:r>
      <w:r w:rsidR="00D819D3">
        <w:rPr>
          <w:b/>
        </w:rPr>
        <w:fldChar w:fldCharType="end"/>
      </w:r>
      <w:r w:rsidR="00D819D3">
        <w:rPr>
          <w:b/>
        </w:rPr>
        <w:t xml:space="preserve"> </w:t>
      </w:r>
      <w:r w:rsidR="006364BE" w:rsidRPr="006364BE">
        <w:t>ressort à 10,0 %, en augmentation d’un point par rapport au premier trimestre 2014.</w:t>
      </w:r>
    </w:p>
    <w:p w:rsidR="0069247C" w:rsidRDefault="00602E64" w:rsidP="008E2B05">
      <w:pPr>
        <w:pStyle w:val="3-Titre2"/>
      </w:pPr>
      <w:r>
        <w:rPr>
          <w:rStyle w:val="orange"/>
        </w:rPr>
        <w:t>3</w:t>
      </w:r>
      <w:r w:rsidR="0069247C" w:rsidRPr="008E2B05">
        <w:rPr>
          <w:rStyle w:val="orange"/>
        </w:rPr>
        <w:t>.1.1</w:t>
      </w:r>
      <w:r w:rsidR="003A4476">
        <w:t xml:space="preserve"> </w:t>
      </w:r>
      <w:r w:rsidR="0069247C">
        <w:t xml:space="preserve">Banque Populaire : </w:t>
      </w:r>
      <w:r w:rsidR="0069247C" w:rsidRPr="00A25990">
        <w:t>d</w:t>
      </w:r>
      <w:r w:rsidR="006060A1" w:rsidRPr="00A25990">
        <w:t>éveloppement de l’équipement du fonds de commerce et forte dynamique sur la collecte</w:t>
      </w:r>
      <w:r w:rsidR="006060A1">
        <w:rPr>
          <w:color w:val="FF0000"/>
        </w:rPr>
        <w:t xml:space="preserve"> </w:t>
      </w:r>
    </w:p>
    <w:p w:rsidR="00BE42FC" w:rsidRPr="005547E2" w:rsidRDefault="00BE42FC">
      <w:pPr>
        <w:pStyle w:val="intro"/>
      </w:pPr>
      <w:r w:rsidRPr="005547E2">
        <w:t xml:space="preserve">Le réseau Banque Populaire regroupe les 18 Banques Populaires, dont la CASDEN Banque Populaire et le Crédit Coopératif ainsi que leurs filiales, le Crédit Maritime Mutuel et les sociétés de caution mutuelle. </w:t>
      </w:r>
    </w:p>
    <w:p w:rsidR="00BE42FC" w:rsidRPr="002B3D74" w:rsidRDefault="00BE42FC" w:rsidP="00BE42FC">
      <w:pPr>
        <w:pStyle w:val="2-TEXTECOURANTcommuniqu"/>
        <w:rPr>
          <w:color w:val="FF0000"/>
        </w:rPr>
      </w:pPr>
    </w:p>
    <w:p w:rsidR="00BE42FC" w:rsidRPr="003F0FFC" w:rsidRDefault="00BE42FC" w:rsidP="00BE42FC">
      <w:pPr>
        <w:pStyle w:val="3-Titre3"/>
      </w:pPr>
      <w:r w:rsidRPr="003F0FFC">
        <w:t>Fonds de commerce</w:t>
      </w:r>
    </w:p>
    <w:p w:rsidR="00BE42FC" w:rsidRPr="003F0FFC" w:rsidRDefault="00BE42FC" w:rsidP="00BE42FC">
      <w:pPr>
        <w:pStyle w:val="2-TEXTECOURANTcommuniqu"/>
      </w:pPr>
    </w:p>
    <w:p w:rsidR="00BE42FC" w:rsidRPr="003F0FFC" w:rsidRDefault="00BE42FC" w:rsidP="00BE42FC">
      <w:pPr>
        <w:pStyle w:val="2-TEXTECOURANTcommuniqu"/>
      </w:pPr>
      <w:r w:rsidRPr="003F0FFC">
        <w:t xml:space="preserve">Le réseau Banque Populaire poursuit sa stratégie de développement sur les clientèles prioritaires, qui se traduit par une progression de 6,4 % sur un an de ses clients particuliers équipés et assurés et par un accroissement de 3,7 % de ses clients professionnels en double relation active. </w:t>
      </w:r>
    </w:p>
    <w:p w:rsidR="00BE42FC" w:rsidRPr="002B3D74" w:rsidRDefault="00BE42FC" w:rsidP="00BE42FC">
      <w:pPr>
        <w:pStyle w:val="2-TEXTECOURANTcommuniqu"/>
        <w:rPr>
          <w:color w:val="FF0000"/>
        </w:rPr>
      </w:pPr>
    </w:p>
    <w:p w:rsidR="00BE42FC" w:rsidRPr="00111797" w:rsidRDefault="00BE42FC" w:rsidP="00BE42FC">
      <w:pPr>
        <w:pStyle w:val="3-Titre3"/>
      </w:pPr>
      <w:r w:rsidRPr="00111797">
        <w:t>Épargne</w:t>
      </w:r>
    </w:p>
    <w:p w:rsidR="00BE42FC" w:rsidRPr="00111797" w:rsidRDefault="00BE42FC" w:rsidP="00BE42FC">
      <w:pPr>
        <w:pStyle w:val="2-TEXTECOURANTcommuniqu"/>
      </w:pPr>
    </w:p>
    <w:p w:rsidR="00BE42FC" w:rsidRPr="00111797" w:rsidRDefault="00BE42FC" w:rsidP="00BE42FC">
      <w:pPr>
        <w:pStyle w:val="2-TEXTECOURANTcommuniqu"/>
      </w:pPr>
      <w:r w:rsidRPr="00111797">
        <w:t xml:space="preserve">Les encours d’épargne ont enregistré une forte croissance, </w:t>
      </w:r>
      <w:r w:rsidR="0004237C">
        <w:t>à hauteur</w:t>
      </w:r>
      <w:r w:rsidRPr="00111797">
        <w:t xml:space="preserve"> de 1</w:t>
      </w:r>
      <w:r>
        <w:t>7</w:t>
      </w:r>
      <w:r w:rsidRPr="00111797">
        <w:t xml:space="preserve"> milliards d’euros sur un an. Ils s’établissent ainsi à 22</w:t>
      </w:r>
      <w:r>
        <w:t>5</w:t>
      </w:r>
      <w:r w:rsidRPr="00111797">
        <w:t xml:space="preserve"> milliards d’euros au 31 mars 2015. </w:t>
      </w:r>
    </w:p>
    <w:p w:rsidR="00BE42FC" w:rsidRPr="002B3D74" w:rsidRDefault="00BE42FC" w:rsidP="00BE42FC">
      <w:pPr>
        <w:pStyle w:val="2-TEXTECOURANTcommuniqu"/>
        <w:rPr>
          <w:color w:val="FF0000"/>
        </w:rPr>
      </w:pPr>
      <w:r w:rsidRPr="00CA3FD5">
        <w:t>Hors centralisation, les encours d’épargne de bilan s’élèvent à 148 milliards d’euro</w:t>
      </w:r>
      <w:r w:rsidRPr="00AC685F">
        <w:t>s, en hausse de 15 milliards d’euros sur un an gliss</w:t>
      </w:r>
      <w:r>
        <w:t>ant, soit une croissance de 11,2</w:t>
      </w:r>
      <w:r w:rsidRPr="00AC685F">
        <w:t xml:space="preserve"> % portée, notamment, par les dépôts à vue (+ 15,9 %) et les </w:t>
      </w:r>
      <w:r w:rsidR="00A01AF2">
        <w:t>compte</w:t>
      </w:r>
      <w:r w:rsidR="007A6AE1">
        <w:t>s</w:t>
      </w:r>
      <w:r w:rsidRPr="00AC685F">
        <w:t xml:space="preserve"> à </w:t>
      </w:r>
      <w:r w:rsidRPr="009049C2">
        <w:t>terme (+ 11,5 %).</w:t>
      </w:r>
    </w:p>
    <w:p w:rsidR="00BE42FC" w:rsidRPr="00AC685F" w:rsidRDefault="00BE42FC" w:rsidP="00BE42FC">
      <w:pPr>
        <w:pStyle w:val="2-TEXTECOURANTcommuniqu"/>
      </w:pPr>
      <w:r w:rsidRPr="00AC685F">
        <w:t>En parallèle, les encours d’assurance vie affichent une hausse de 5,2 % su</w:t>
      </w:r>
      <w:r>
        <w:t xml:space="preserve">r un an avec une collecte </w:t>
      </w:r>
      <w:r w:rsidR="00C26B8A">
        <w:t>nette</w:t>
      </w:r>
      <w:r>
        <w:t xml:space="preserve"> en augmentation </w:t>
      </w:r>
      <w:r w:rsidRPr="00C26B8A">
        <w:t xml:space="preserve">de </w:t>
      </w:r>
      <w:r w:rsidR="00C26B8A" w:rsidRPr="00C26B8A">
        <w:t>7,8</w:t>
      </w:r>
      <w:r w:rsidRPr="00C26B8A">
        <w:t> %.</w:t>
      </w:r>
    </w:p>
    <w:p w:rsidR="00BE42FC" w:rsidRPr="002B3D74" w:rsidRDefault="00BE42FC" w:rsidP="00BE42FC">
      <w:pPr>
        <w:pStyle w:val="2-TEXTECOURANTcommuniqu"/>
        <w:rPr>
          <w:color w:val="FF0000"/>
        </w:rPr>
      </w:pPr>
    </w:p>
    <w:p w:rsidR="00BE42FC" w:rsidRPr="00334078" w:rsidRDefault="00BE42FC" w:rsidP="00BE42FC">
      <w:pPr>
        <w:pStyle w:val="3-Titre3"/>
      </w:pPr>
      <w:r w:rsidRPr="00334078">
        <w:t>Crédits</w:t>
      </w:r>
    </w:p>
    <w:p w:rsidR="00BE42FC" w:rsidRPr="00334078" w:rsidRDefault="00BE42FC" w:rsidP="00BE42FC">
      <w:pPr>
        <w:pStyle w:val="2-TEXTECOURANTcommuniqu"/>
      </w:pPr>
    </w:p>
    <w:p w:rsidR="00BE42FC" w:rsidRPr="00334078" w:rsidRDefault="00BE42FC" w:rsidP="00BE42FC">
      <w:pPr>
        <w:pStyle w:val="2-TEXTECOURANTcommuniqu"/>
      </w:pPr>
      <w:r w:rsidRPr="00334078">
        <w:t>Les encours de crédit s’établissent à 169 milliards d’euros à fin mars 2015, enregistr</w:t>
      </w:r>
      <w:r w:rsidR="00C26B8A">
        <w:t>ant une progression de 1,6</w:t>
      </w:r>
      <w:r w:rsidRPr="00334078">
        <w:t xml:space="preserve"> %</w:t>
      </w:r>
      <w:r w:rsidR="002D0C20">
        <w:rPr>
          <w:rStyle w:val="Appelnotedebasdep"/>
        </w:rPr>
        <w:footnoteReference w:id="18"/>
      </w:r>
      <w:r w:rsidRPr="00334078">
        <w:t xml:space="preserve"> sur un an.</w:t>
      </w:r>
    </w:p>
    <w:p w:rsidR="00BE42FC" w:rsidRPr="003F6938" w:rsidRDefault="00BE42FC" w:rsidP="00BE42FC">
      <w:pPr>
        <w:pStyle w:val="2-TEXTECOURANTcommuniqu"/>
        <w:rPr>
          <w:color w:val="FF0000"/>
        </w:rPr>
      </w:pPr>
      <w:r>
        <w:t>Sur la période, les encours de crédits immobiliers progressent de 3,1 %, les encours de crédits</w:t>
      </w:r>
      <w:r w:rsidRPr="00516238">
        <w:t xml:space="preserve"> à la</w:t>
      </w:r>
      <w:r>
        <w:t xml:space="preserve"> consommation, de </w:t>
      </w:r>
      <w:r w:rsidRPr="00A25990">
        <w:t>4,</w:t>
      </w:r>
      <w:r w:rsidR="006060A1" w:rsidRPr="00A25990">
        <w:t>7</w:t>
      </w:r>
      <w:r w:rsidR="0088442A">
        <w:t> </w:t>
      </w:r>
      <w:r w:rsidRPr="00A25990">
        <w:t>%.</w:t>
      </w:r>
    </w:p>
    <w:p w:rsidR="00BE42FC" w:rsidRPr="00516238" w:rsidRDefault="00BE42FC" w:rsidP="00BE42FC">
      <w:pPr>
        <w:pStyle w:val="2-TEXTECOURANTcommuniqu"/>
      </w:pPr>
      <w:r w:rsidRPr="00516238">
        <w:t xml:space="preserve">Par ailleurs, </w:t>
      </w:r>
      <w:r>
        <w:t>la production de</w:t>
      </w:r>
      <w:r w:rsidRPr="00516238">
        <w:t xml:space="preserve"> crédits à l’équipement </w:t>
      </w:r>
      <w:r w:rsidR="0004237C">
        <w:t xml:space="preserve">affiche une reprise </w:t>
      </w:r>
      <w:r>
        <w:t xml:space="preserve">au premier trimestre 2015, </w:t>
      </w:r>
      <w:r w:rsidR="00DD70DD">
        <w:t xml:space="preserve">avec une hausse de </w:t>
      </w:r>
      <w:r>
        <w:t>11 % par rapport au premier trimestre 2014.</w:t>
      </w:r>
    </w:p>
    <w:p w:rsidR="00BE42FC" w:rsidRPr="002B3D74" w:rsidRDefault="00BE42FC" w:rsidP="00BE42FC">
      <w:pPr>
        <w:pStyle w:val="2-TEXTECOURANTcommuniqu"/>
        <w:rPr>
          <w:color w:val="FF0000"/>
        </w:rPr>
      </w:pPr>
    </w:p>
    <w:p w:rsidR="00BE42FC" w:rsidRDefault="00BE42FC" w:rsidP="00BE42FC">
      <w:pPr>
        <w:pStyle w:val="3-Titre3"/>
      </w:pPr>
      <w:r>
        <w:t xml:space="preserve"> Bancassurance</w:t>
      </w:r>
    </w:p>
    <w:p w:rsidR="00BE42FC" w:rsidRDefault="00BE42FC" w:rsidP="00BE42FC">
      <w:pPr>
        <w:pStyle w:val="2-TEXTECOURANTcommuniqu"/>
      </w:pPr>
    </w:p>
    <w:p w:rsidR="00BE42FC" w:rsidRPr="002B5815" w:rsidRDefault="00BE42FC" w:rsidP="00BE42FC">
      <w:pPr>
        <w:pStyle w:val="2-TEXTECOURANTcommuniqu"/>
      </w:pPr>
      <w:r w:rsidRPr="002B5815">
        <w:t xml:space="preserve">Le portefeuille de contrats </w:t>
      </w:r>
      <w:r w:rsidRPr="00526E39">
        <w:t xml:space="preserve">en assurances dommages, prévoyance et santé </w:t>
      </w:r>
      <w:r>
        <w:t>poursuit sa croissance,</w:t>
      </w:r>
      <w:r w:rsidR="00DD70DD">
        <w:t xml:space="preserve"> avec une hausse de</w:t>
      </w:r>
      <w:r>
        <w:t xml:space="preserve"> 6,9 %</w:t>
      </w:r>
      <w:r w:rsidR="00FE0624">
        <w:t xml:space="preserve"> par rapport au premier trimestre 2014</w:t>
      </w:r>
      <w:r>
        <w:t>.</w:t>
      </w:r>
    </w:p>
    <w:p w:rsidR="00BE42FC" w:rsidRPr="002B5815" w:rsidRDefault="00BE42FC" w:rsidP="00BE42FC">
      <w:pPr>
        <w:pStyle w:val="2-TEXTECOURANTcommuniqu"/>
      </w:pPr>
    </w:p>
    <w:p w:rsidR="00BE42FC" w:rsidRDefault="00BE42FC" w:rsidP="00BE42FC">
      <w:pPr>
        <w:pStyle w:val="3-Titre3"/>
      </w:pPr>
      <w:r>
        <w:t>Résultats financiers</w:t>
      </w:r>
      <w:r w:rsidRPr="00D857C0">
        <w:rPr>
          <w:color w:val="FF0000"/>
        </w:rPr>
        <w:t xml:space="preserve"> </w:t>
      </w:r>
    </w:p>
    <w:p w:rsidR="00BE42FC" w:rsidRDefault="00BE42FC" w:rsidP="00BE42FC">
      <w:pPr>
        <w:pStyle w:val="2-TEXTECOURANTcommuniqu"/>
      </w:pPr>
    </w:p>
    <w:p w:rsidR="00BE42FC" w:rsidRDefault="00BE42FC" w:rsidP="00BE42FC">
      <w:pPr>
        <w:pStyle w:val="2-TEXTECOURANTcommuniqu"/>
        <w:rPr>
          <w:color w:val="FF0000"/>
        </w:rPr>
      </w:pPr>
      <w:r w:rsidRPr="00D857C0">
        <w:t xml:space="preserve">Le </w:t>
      </w:r>
      <w:r w:rsidRPr="00D857C0">
        <w:rPr>
          <w:b/>
        </w:rPr>
        <w:t>produit net bancaire</w:t>
      </w:r>
      <w:r w:rsidRPr="00D857C0">
        <w:t xml:space="preserve"> du premier trimestre 2015 s’établit à 1 660 millions d’euros (hors variation de la provision épargne logement), en hausse </w:t>
      </w:r>
      <w:r w:rsidRPr="006C3F1D">
        <w:t xml:space="preserve">de 3,6 % par </w:t>
      </w:r>
      <w:r w:rsidRPr="00D857C0">
        <w:t xml:space="preserve">rapport au premier trimestre 2014. </w:t>
      </w:r>
      <w:r w:rsidRPr="00A8260E">
        <w:t xml:space="preserve">Cette évolution procède d’une </w:t>
      </w:r>
      <w:r w:rsidR="00D819D3">
        <w:t>diminution de 1,1 </w:t>
      </w:r>
      <w:r w:rsidRPr="00512F55">
        <w:t xml:space="preserve">% </w:t>
      </w:r>
      <w:r w:rsidRPr="00A8260E">
        <w:t xml:space="preserve">de la marge nette d’intérêt </w:t>
      </w:r>
      <w:r w:rsidR="00D819D3">
        <w:t xml:space="preserve">clientèle </w:t>
      </w:r>
      <w:r w:rsidRPr="00A8260E">
        <w:t xml:space="preserve">(hors variation de la provision épargne logement) et d’une progression </w:t>
      </w:r>
      <w:r w:rsidRPr="00512F55">
        <w:t xml:space="preserve">de 7,5 % </w:t>
      </w:r>
      <w:r w:rsidRPr="00A8260E">
        <w:t xml:space="preserve">des commissions. </w:t>
      </w:r>
    </w:p>
    <w:p w:rsidR="00BE42FC" w:rsidRPr="002B3D74" w:rsidRDefault="00BE42FC" w:rsidP="00BE42FC">
      <w:pPr>
        <w:pStyle w:val="2-TEXTECOURANTcommuniqu"/>
        <w:rPr>
          <w:color w:val="FF0000"/>
        </w:rPr>
      </w:pPr>
    </w:p>
    <w:p w:rsidR="00BE42FC" w:rsidRPr="00A14BFA" w:rsidRDefault="00BE42FC" w:rsidP="00BE42FC">
      <w:pPr>
        <w:pStyle w:val="2-TEXTECOURANTcommuniqu"/>
      </w:pPr>
      <w:r w:rsidRPr="00A14BFA">
        <w:t xml:space="preserve">Les </w:t>
      </w:r>
      <w:r w:rsidRPr="00A14BFA">
        <w:rPr>
          <w:b/>
        </w:rPr>
        <w:t>frais de gestion</w:t>
      </w:r>
      <w:r w:rsidRPr="00A14BFA">
        <w:t xml:space="preserve">, à 1 105 millions d’euros à fin mars 2015, diminuent de 0,4 % sur un an. </w:t>
      </w:r>
    </w:p>
    <w:p w:rsidR="00BE42FC" w:rsidRPr="00A14BFA" w:rsidRDefault="00BE42FC" w:rsidP="00BE42FC">
      <w:pPr>
        <w:pStyle w:val="2-TEXTECOURANTcommuniqu"/>
      </w:pPr>
    </w:p>
    <w:p w:rsidR="00BE42FC" w:rsidRPr="00A14BFA" w:rsidRDefault="00BE42FC" w:rsidP="00BE42FC">
      <w:pPr>
        <w:pStyle w:val="2-TEXTECOURANTcommuniqu"/>
      </w:pPr>
      <w:r w:rsidRPr="00A14BFA">
        <w:t xml:space="preserve">Le </w:t>
      </w:r>
      <w:r w:rsidRPr="00A14BFA">
        <w:rPr>
          <w:b/>
        </w:rPr>
        <w:t>résultat brut d’exploitation</w:t>
      </w:r>
      <w:r w:rsidRPr="00A14BFA">
        <w:t xml:space="preserve"> ressort à 550 millions d’euros, en hausse de 11,4 % sur un an.</w:t>
      </w:r>
    </w:p>
    <w:p w:rsidR="00BE42FC" w:rsidRPr="002B3D74" w:rsidRDefault="00BE42FC" w:rsidP="00BE42FC">
      <w:pPr>
        <w:pStyle w:val="2-TEXTECOURANTcommuniqu"/>
        <w:rPr>
          <w:color w:val="FF0000"/>
        </w:rPr>
      </w:pPr>
    </w:p>
    <w:p w:rsidR="00BE42FC" w:rsidRDefault="00BE42FC" w:rsidP="00BE42FC">
      <w:pPr>
        <w:pStyle w:val="2-TEXTECOURANTcommuniqu"/>
      </w:pPr>
      <w:r w:rsidRPr="00A25990">
        <w:t xml:space="preserve">Le </w:t>
      </w:r>
      <w:r w:rsidRPr="00A25990">
        <w:rPr>
          <w:b/>
        </w:rPr>
        <w:t>coût du risque</w:t>
      </w:r>
      <w:r w:rsidRPr="00A25990">
        <w:t xml:space="preserve">, à 172 millions d’euros, est en hausse de 9,4 % comparé au premier trimestre </w:t>
      </w:r>
      <w:r w:rsidR="00A64B9F" w:rsidRPr="00A25990">
        <w:t>2014</w:t>
      </w:r>
      <w:r w:rsidR="00D819D3">
        <w:t xml:space="preserve"> </w:t>
      </w:r>
      <w:r w:rsidR="0004237C">
        <w:t>en raison d</w:t>
      </w:r>
      <w:r w:rsidR="005A7E6F" w:rsidRPr="00A25990">
        <w:t xml:space="preserve">u </w:t>
      </w:r>
      <w:r w:rsidRPr="00A25990">
        <w:t xml:space="preserve">changement de </w:t>
      </w:r>
      <w:r w:rsidR="0004237C">
        <w:t xml:space="preserve">certains </w:t>
      </w:r>
      <w:r w:rsidRPr="00A25990">
        <w:t>paramètres de calcul des provisions collectives</w:t>
      </w:r>
      <w:r w:rsidR="00C8607C" w:rsidRPr="00A25990">
        <w:t>.</w:t>
      </w:r>
      <w:r w:rsidR="00D819D3">
        <w:t xml:space="preserve"> </w:t>
      </w:r>
    </w:p>
    <w:p w:rsidR="00BE42FC" w:rsidRDefault="00BE42FC" w:rsidP="00BE42FC">
      <w:pPr>
        <w:pStyle w:val="2-TEXTECOURANTcommuniqu"/>
      </w:pPr>
    </w:p>
    <w:p w:rsidR="00BE42FC" w:rsidRPr="00E63FFA" w:rsidRDefault="00BE42FC" w:rsidP="00BE42FC">
      <w:pPr>
        <w:pStyle w:val="2-TEXTECOURANTcommuniqu"/>
      </w:pPr>
      <w:r w:rsidRPr="0089517B">
        <w:rPr>
          <w:b/>
        </w:rPr>
        <w:t>Le résultat avant impôt</w:t>
      </w:r>
      <w:r>
        <w:t xml:space="preserve"> augmente de 12,6 % et s’élève à 389 millions d’euros.</w:t>
      </w:r>
    </w:p>
    <w:p w:rsidR="00BE42FC" w:rsidRPr="002B3D74" w:rsidRDefault="00BE42FC" w:rsidP="00BE42FC">
      <w:pPr>
        <w:pStyle w:val="2-TEXTECOURANTcommuniqu"/>
        <w:rPr>
          <w:color w:val="FF0000"/>
        </w:rPr>
      </w:pPr>
    </w:p>
    <w:p w:rsidR="00BE42FC" w:rsidRPr="00E63FFA" w:rsidRDefault="00BE42FC" w:rsidP="00BE42FC">
      <w:pPr>
        <w:pStyle w:val="2-TEXTECOURANTcommuniqu"/>
      </w:pPr>
      <w:r w:rsidRPr="0089517B">
        <w:t xml:space="preserve">En </w:t>
      </w:r>
      <w:r w:rsidR="004623A5">
        <w:t>retraitant</w:t>
      </w:r>
      <w:r w:rsidRPr="0089517B">
        <w:t xml:space="preserve"> l’impact </w:t>
      </w:r>
      <w:r w:rsidR="00DD17DD">
        <w:t>de l’</w:t>
      </w:r>
      <w:r w:rsidRPr="0089517B">
        <w:t xml:space="preserve">IFRIC 21, </w:t>
      </w:r>
      <w:r w:rsidRPr="0089517B">
        <w:rPr>
          <w:b/>
        </w:rPr>
        <w:t xml:space="preserve">le résultat avant impôt </w:t>
      </w:r>
      <w:r w:rsidRPr="0089517B">
        <w:t>s’élève à 440 millions d’euros, soit une hausse de 8,3 % sur un an.</w:t>
      </w:r>
      <w:r w:rsidR="002251D3">
        <w:t xml:space="preserve"> </w:t>
      </w:r>
      <w:r w:rsidRPr="00E63FFA">
        <w:t xml:space="preserve">Le </w:t>
      </w:r>
      <w:r w:rsidRPr="00E63FFA">
        <w:rPr>
          <w:b/>
        </w:rPr>
        <w:t>coefficient d’exploitation</w:t>
      </w:r>
      <w:r>
        <w:t xml:space="preserve"> diminue de 1,7 point, à </w:t>
      </w:r>
      <w:r w:rsidRPr="00A25990">
        <w:rPr>
          <w:color w:val="000000" w:themeColor="text1"/>
        </w:rPr>
        <w:t>63,7 %.</w:t>
      </w:r>
    </w:p>
    <w:p w:rsidR="0069247C" w:rsidRDefault="0024634D" w:rsidP="008E2B05">
      <w:pPr>
        <w:pStyle w:val="3-Titre2"/>
      </w:pPr>
      <w:r>
        <w:rPr>
          <w:rStyle w:val="orange"/>
        </w:rPr>
        <w:t>3</w:t>
      </w:r>
      <w:r w:rsidR="0069247C" w:rsidRPr="008E2B05">
        <w:rPr>
          <w:rStyle w:val="orange"/>
        </w:rPr>
        <w:t>.1.2</w:t>
      </w:r>
      <w:r w:rsidR="0069247C">
        <w:t xml:space="preserve"> Caisse d’Epargne : </w:t>
      </w:r>
      <w:r w:rsidR="000374CB" w:rsidRPr="00A25990">
        <w:t>croissance</w:t>
      </w:r>
      <w:r w:rsidR="0069247C" w:rsidRPr="00A25990">
        <w:t xml:space="preserve"> dynamique </w:t>
      </w:r>
      <w:r w:rsidR="000374CB" w:rsidRPr="00A25990">
        <w:t>du fonds de commerce et activité très soutenue en crédit</w:t>
      </w:r>
      <w:r w:rsidR="000374CB">
        <w:rPr>
          <w:color w:val="FF0000"/>
        </w:rPr>
        <w:t xml:space="preserve"> </w:t>
      </w:r>
    </w:p>
    <w:p w:rsidR="0069247C" w:rsidRPr="00B107F6" w:rsidRDefault="0069247C">
      <w:pPr>
        <w:pStyle w:val="intro"/>
      </w:pPr>
      <w:r w:rsidRPr="00B107F6">
        <w:t>Le réseau Caisse d’Epargne regroupe les 17 Caisses d’Epargne ainsi que leurs filiales.</w:t>
      </w:r>
    </w:p>
    <w:p w:rsidR="0069247C" w:rsidRPr="002B3D74" w:rsidRDefault="0069247C" w:rsidP="0069247C">
      <w:pPr>
        <w:pStyle w:val="2-TEXTECOURANTcommuniqu"/>
        <w:rPr>
          <w:color w:val="FF0000"/>
        </w:rPr>
      </w:pPr>
    </w:p>
    <w:p w:rsidR="00DB7084" w:rsidRPr="007E7821" w:rsidRDefault="00DB7084" w:rsidP="00DB7084">
      <w:pPr>
        <w:pStyle w:val="3-Titre3"/>
      </w:pPr>
      <w:r w:rsidRPr="007E7821">
        <w:t>Fonds de commerce</w:t>
      </w:r>
    </w:p>
    <w:p w:rsidR="00DB7084" w:rsidRPr="002B3D74" w:rsidRDefault="00DB7084" w:rsidP="00DB7084">
      <w:pPr>
        <w:pStyle w:val="2-TEXTECOURANTcommuniqu"/>
        <w:rPr>
          <w:color w:val="FF0000"/>
        </w:rPr>
      </w:pPr>
    </w:p>
    <w:p w:rsidR="00DB7084" w:rsidRPr="007E7821" w:rsidRDefault="00DB7084" w:rsidP="00DB7084">
      <w:pPr>
        <w:pStyle w:val="2-TEXTECOURANTcommuniqu"/>
      </w:pPr>
      <w:r w:rsidRPr="007E7821">
        <w:t xml:space="preserve">La stratégie de bancarisation des clients particuliers du réseau Caisse d’Epargne s’est poursuivie au premier trimestre 2015 et s’est </w:t>
      </w:r>
      <w:r w:rsidRPr="00D55A7B">
        <w:rPr>
          <w:color w:val="000000" w:themeColor="text1"/>
        </w:rPr>
        <w:t>traduite par une croissance de 2,</w:t>
      </w:r>
      <w:r w:rsidR="00D76899">
        <w:rPr>
          <w:color w:val="000000" w:themeColor="text1"/>
        </w:rPr>
        <w:t>0</w:t>
      </w:r>
      <w:r w:rsidRPr="00D55A7B">
        <w:rPr>
          <w:color w:val="000000" w:themeColor="text1"/>
        </w:rPr>
        <w:t xml:space="preserve"> % des clients bancarisés principaux. Sur les marchés des professionnels et des entreprises, la stratégie de conquête a permis une hausse de </w:t>
      </w:r>
      <w:r w:rsidR="00D76899">
        <w:rPr>
          <w:color w:val="000000" w:themeColor="text1"/>
        </w:rPr>
        <w:t>3</w:t>
      </w:r>
      <w:r w:rsidRPr="00D55A7B">
        <w:rPr>
          <w:color w:val="000000" w:themeColor="text1"/>
        </w:rPr>
        <w:t>,</w:t>
      </w:r>
      <w:r w:rsidR="00D76899">
        <w:rPr>
          <w:color w:val="000000" w:themeColor="text1"/>
        </w:rPr>
        <w:t>5</w:t>
      </w:r>
      <w:r w:rsidRPr="00D55A7B">
        <w:rPr>
          <w:color w:val="000000" w:themeColor="text1"/>
        </w:rPr>
        <w:t xml:space="preserve"> % des clients </w:t>
      </w:r>
      <w:r w:rsidR="0088442A">
        <w:rPr>
          <w:color w:val="000000" w:themeColor="text1"/>
        </w:rPr>
        <w:t xml:space="preserve">actifs </w:t>
      </w:r>
      <w:r w:rsidRPr="00D55A7B">
        <w:rPr>
          <w:color w:val="000000" w:themeColor="text1"/>
        </w:rPr>
        <w:t>professionnels et de 7,</w:t>
      </w:r>
      <w:r w:rsidR="00D76899">
        <w:rPr>
          <w:color w:val="000000" w:themeColor="text1"/>
        </w:rPr>
        <w:t>9</w:t>
      </w:r>
      <w:r w:rsidRPr="00D55A7B">
        <w:rPr>
          <w:color w:val="000000" w:themeColor="text1"/>
        </w:rPr>
        <w:t xml:space="preserve"> % des clients </w:t>
      </w:r>
      <w:r w:rsidR="0088442A">
        <w:rPr>
          <w:color w:val="000000" w:themeColor="text1"/>
        </w:rPr>
        <w:t xml:space="preserve">actifs </w:t>
      </w:r>
      <w:r w:rsidRPr="00D55A7B">
        <w:rPr>
          <w:color w:val="000000" w:themeColor="text1"/>
        </w:rPr>
        <w:t xml:space="preserve">entreprises. </w:t>
      </w:r>
    </w:p>
    <w:p w:rsidR="00DB7084" w:rsidRPr="002B3D74" w:rsidRDefault="00DB7084" w:rsidP="00DB7084">
      <w:pPr>
        <w:pStyle w:val="2-TEXTECOURANTcommuniqu"/>
        <w:rPr>
          <w:color w:val="FF0000"/>
        </w:rPr>
      </w:pPr>
    </w:p>
    <w:p w:rsidR="00DB7084" w:rsidRPr="007E7821" w:rsidRDefault="00DB7084" w:rsidP="00DB7084">
      <w:pPr>
        <w:pStyle w:val="3-Titre3"/>
      </w:pPr>
      <w:r w:rsidRPr="007E7821">
        <w:t xml:space="preserve">Encours d’épargne </w:t>
      </w:r>
    </w:p>
    <w:p w:rsidR="00DB7084" w:rsidRPr="002B3D74" w:rsidRDefault="00DB7084" w:rsidP="00DB7084">
      <w:pPr>
        <w:pStyle w:val="2-TEXTECOURANTcommuniqu"/>
        <w:rPr>
          <w:color w:val="FF0000"/>
        </w:rPr>
      </w:pPr>
    </w:p>
    <w:p w:rsidR="00DB7084" w:rsidRPr="004142F9" w:rsidRDefault="00DB7084" w:rsidP="00DB7084">
      <w:pPr>
        <w:pStyle w:val="2-TEXTECOURANTcommuniqu"/>
      </w:pPr>
      <w:r w:rsidRPr="004142F9">
        <w:t xml:space="preserve">Les encours d’épargne ont </w:t>
      </w:r>
      <w:r>
        <w:t xml:space="preserve">enregistré une hausse </w:t>
      </w:r>
      <w:r w:rsidRPr="004142F9">
        <w:t xml:space="preserve">de 11 milliards d’euros en un an par rapport au </w:t>
      </w:r>
      <w:r>
        <w:t>31 mars</w:t>
      </w:r>
      <w:r w:rsidRPr="004142F9">
        <w:t xml:space="preserve"> 2014, s’établissant à 386 milliards d’euros au 31 mars 2015. </w:t>
      </w:r>
    </w:p>
    <w:p w:rsidR="00DB7084" w:rsidRDefault="00DB7084" w:rsidP="00DB7084">
      <w:pPr>
        <w:pStyle w:val="2-TEXTECOURANTcommuniqu"/>
      </w:pPr>
    </w:p>
    <w:p w:rsidR="00DB7084" w:rsidRDefault="00DB7084" w:rsidP="00DB7084">
      <w:pPr>
        <w:pStyle w:val="2-TEXTECOURANTcommuniqu"/>
        <w:rPr>
          <w:color w:val="FF0000"/>
        </w:rPr>
      </w:pPr>
      <w:r w:rsidRPr="004142F9">
        <w:t xml:space="preserve">Hors centralisation, les encours d’épargne de bilan s’élèvent à 197 milliards d’euros, en hausse de 12 milliards d’euros </w:t>
      </w:r>
      <w:r>
        <w:t>par rapport au 31 mars 2014</w:t>
      </w:r>
      <w:r w:rsidRPr="004142F9">
        <w:t>, soit une croissance de 6,</w:t>
      </w:r>
      <w:r w:rsidRPr="00852CE7">
        <w:t>6 %. Les dépôts à vue ont progressé de 16,8</w:t>
      </w:r>
      <w:r>
        <w:t> %, les comptes</w:t>
      </w:r>
      <w:r w:rsidRPr="00852CE7">
        <w:t xml:space="preserve"> à terme, de 13</w:t>
      </w:r>
      <w:r>
        <w:t>,8 </w:t>
      </w:r>
      <w:r w:rsidRPr="00852CE7">
        <w:t>%, et l’épargne logement</w:t>
      </w:r>
      <w:r>
        <w:t>,</w:t>
      </w:r>
      <w:r w:rsidRPr="00852CE7">
        <w:t xml:space="preserve"> de 10,9</w:t>
      </w:r>
      <w:r>
        <w:t> </w:t>
      </w:r>
      <w:r w:rsidRPr="00852CE7">
        <w:t>%.</w:t>
      </w:r>
    </w:p>
    <w:p w:rsidR="00DB7084" w:rsidRPr="00852CE7" w:rsidRDefault="00DB7084" w:rsidP="00DB7084">
      <w:pPr>
        <w:pStyle w:val="2-TEXTECOURANTcommuniqu"/>
      </w:pPr>
    </w:p>
    <w:p w:rsidR="00DB7084" w:rsidRDefault="00DB7084" w:rsidP="00DB7084">
      <w:pPr>
        <w:pStyle w:val="2-TEXTECOURANTcommuniqu"/>
      </w:pPr>
      <w:r>
        <w:t>Les encours d’épargne financière s’établissent à 124 milliards d’euros au 31 mars 2015, portés par la croissance de l’</w:t>
      </w:r>
      <w:r w:rsidRPr="00852CE7">
        <w:t>assurance vie</w:t>
      </w:r>
      <w:r>
        <w:t> : hausse des encours (+ 4</w:t>
      </w:r>
      <w:r w:rsidRPr="00852CE7">
        <w:t>,</w:t>
      </w:r>
      <w:r>
        <w:t>6 </w:t>
      </w:r>
      <w:r w:rsidRPr="00852CE7">
        <w:t>%</w:t>
      </w:r>
      <w:r>
        <w:t xml:space="preserve">) et de la collecte </w:t>
      </w:r>
      <w:r w:rsidRPr="00B07DC0">
        <w:t>nette (+ </w:t>
      </w:r>
      <w:r w:rsidR="00B07DC0" w:rsidRPr="00B07DC0">
        <w:t>2</w:t>
      </w:r>
      <w:r w:rsidR="00D76899">
        <w:t>6</w:t>
      </w:r>
      <w:r w:rsidRPr="00B07DC0">
        <w:t>,</w:t>
      </w:r>
      <w:r w:rsidR="00D76899">
        <w:t>6</w:t>
      </w:r>
      <w:r w:rsidRPr="00B07DC0">
        <w:t> %).</w:t>
      </w:r>
    </w:p>
    <w:p w:rsidR="00DB7084" w:rsidRPr="00852CE7" w:rsidRDefault="00DB7084" w:rsidP="00DB7084">
      <w:pPr>
        <w:pStyle w:val="2-TEXTECOURANTcommuniqu"/>
      </w:pPr>
    </w:p>
    <w:p w:rsidR="00DB7084" w:rsidRPr="007E7821" w:rsidRDefault="00DB7084" w:rsidP="00DB7084">
      <w:pPr>
        <w:pStyle w:val="3-Titre3"/>
      </w:pPr>
      <w:r w:rsidRPr="007E7821">
        <w:t>Encours d</w:t>
      </w:r>
      <w:r>
        <w:t>e crédit</w:t>
      </w:r>
      <w:r w:rsidRPr="007E7821">
        <w:t xml:space="preserve"> </w:t>
      </w:r>
    </w:p>
    <w:p w:rsidR="00DB7084" w:rsidRDefault="00DB7084" w:rsidP="00DB7084">
      <w:pPr>
        <w:pStyle w:val="2-TEXTECOURANTcommuniqu"/>
      </w:pPr>
    </w:p>
    <w:p w:rsidR="00DB7084" w:rsidRPr="008E51D5" w:rsidRDefault="00DB7084" w:rsidP="00DB7084">
      <w:pPr>
        <w:pStyle w:val="2-TEXTECOURANTcommuniqu"/>
      </w:pPr>
      <w:r w:rsidRPr="008E51D5">
        <w:t>Les encours de crédit s’établissent à 213 milliards d’euros à fin mars 2015, en hausse de 4,1 </w:t>
      </w:r>
      <w:r>
        <w:t xml:space="preserve">% par rapport à fin mars 2014, bénéficiant </w:t>
      </w:r>
      <w:r w:rsidR="00405D7A">
        <w:t xml:space="preserve">notamment </w:t>
      </w:r>
      <w:r>
        <w:t>de la dynamique des</w:t>
      </w:r>
      <w:r w:rsidRPr="008E51D5">
        <w:t xml:space="preserve"> </w:t>
      </w:r>
      <w:r>
        <w:t xml:space="preserve">crédits immobiliers (+ 4,9 %). Les </w:t>
      </w:r>
      <w:r w:rsidRPr="008E51D5">
        <w:t>crédits à la consommation</w:t>
      </w:r>
      <w:r>
        <w:t xml:space="preserve"> ont connu </w:t>
      </w:r>
      <w:r w:rsidR="0004237C">
        <w:t xml:space="preserve">au premier trimestre 2015 </w:t>
      </w:r>
      <w:r>
        <w:t xml:space="preserve">une hausse de la production de 10 %. De même, les crédits d’équipement ont enregistré une production en hausse </w:t>
      </w:r>
      <w:r w:rsidR="006B66E2">
        <w:t>au premier trimestre 2015 (+ 5</w:t>
      </w:r>
      <w:r>
        <w:t xml:space="preserve"> %), </w:t>
      </w:r>
      <w:r w:rsidR="0088442A">
        <w:t>portée, notamment, par</w:t>
      </w:r>
      <w:r w:rsidR="00B07DC0">
        <w:t xml:space="preserve"> le marché des entreprises (+ 27</w:t>
      </w:r>
      <w:r w:rsidR="00D76899">
        <w:t>,0</w:t>
      </w:r>
      <w:r>
        <w:t> %).</w:t>
      </w:r>
    </w:p>
    <w:p w:rsidR="00DB7084" w:rsidRDefault="00DB7084" w:rsidP="00DB7084">
      <w:pPr>
        <w:pStyle w:val="2-TEXTECOURANTcommuniqu"/>
      </w:pPr>
    </w:p>
    <w:p w:rsidR="00DB7084" w:rsidRDefault="00DB7084" w:rsidP="00DB7084">
      <w:pPr>
        <w:pStyle w:val="3-Titre3"/>
      </w:pPr>
      <w:r>
        <w:t>Bancassurance</w:t>
      </w:r>
    </w:p>
    <w:p w:rsidR="00DB7084" w:rsidRDefault="00DB7084" w:rsidP="00DB7084">
      <w:pPr>
        <w:pStyle w:val="2-TEXTECOURANTcommuniqu"/>
      </w:pPr>
    </w:p>
    <w:p w:rsidR="00DB7084" w:rsidRPr="00526E39" w:rsidRDefault="00DB7084" w:rsidP="00DB7084">
      <w:pPr>
        <w:pStyle w:val="2-TEXTECOURANTcommuniqu"/>
      </w:pPr>
      <w:r w:rsidRPr="00526E39">
        <w:t xml:space="preserve">Le portefeuille des contrats en assurances dommages, prévoyance et santé </w:t>
      </w:r>
      <w:r w:rsidR="0088442A">
        <w:t xml:space="preserve">conserve un rythme de </w:t>
      </w:r>
      <w:r w:rsidRPr="00526E39">
        <w:t>croissanc</w:t>
      </w:r>
      <w:r>
        <w:t>e soutenue, avec une hausse de 10,7</w:t>
      </w:r>
      <w:r w:rsidRPr="00526E39">
        <w:t> %</w:t>
      </w:r>
      <w:r>
        <w:t xml:space="preserve"> sur un an glissant</w:t>
      </w:r>
      <w:r w:rsidRPr="00526E39">
        <w:t xml:space="preserve">. </w:t>
      </w:r>
    </w:p>
    <w:p w:rsidR="00DB7084" w:rsidRPr="002B3D74" w:rsidRDefault="00DB7084" w:rsidP="00DB7084">
      <w:pPr>
        <w:pStyle w:val="2-TEXTECOURANTcommuniqu"/>
        <w:rPr>
          <w:color w:val="FF0000"/>
        </w:rPr>
      </w:pPr>
    </w:p>
    <w:p w:rsidR="001659A3" w:rsidRDefault="001659A3">
      <w:pPr>
        <w:jc w:val="left"/>
        <w:rPr>
          <w:b/>
          <w:spacing w:val="-4"/>
          <w:sz w:val="20"/>
          <w:szCs w:val="20"/>
        </w:rPr>
      </w:pPr>
      <w:r>
        <w:br w:type="page"/>
      </w:r>
    </w:p>
    <w:p w:rsidR="00DB7084" w:rsidRDefault="00DB7084" w:rsidP="00DB7084">
      <w:pPr>
        <w:pStyle w:val="3-Titre3"/>
      </w:pPr>
      <w:r>
        <w:lastRenderedPageBreak/>
        <w:t>Résultats financiers</w:t>
      </w:r>
    </w:p>
    <w:p w:rsidR="00DB7084" w:rsidRPr="00061C2B" w:rsidRDefault="00DB7084" w:rsidP="00DB7084">
      <w:pPr>
        <w:pStyle w:val="2-TEXTECOURANTcommuniqu"/>
      </w:pPr>
    </w:p>
    <w:p w:rsidR="00DB7084" w:rsidRPr="00A567AB" w:rsidRDefault="00DB7084" w:rsidP="00DB7084">
      <w:pPr>
        <w:pStyle w:val="2-TEXTECOURANTcommuniqu"/>
      </w:pPr>
      <w:r w:rsidRPr="00061C2B">
        <w:t xml:space="preserve">Le </w:t>
      </w:r>
      <w:r w:rsidRPr="00061C2B">
        <w:rPr>
          <w:rStyle w:val="lev"/>
        </w:rPr>
        <w:t>produit net bancaire</w:t>
      </w:r>
      <w:r w:rsidRPr="00061C2B">
        <w:t xml:space="preserve"> (hors variation de la provision épargne logement) s’établit à 1 873 millions d’euros en progression de 3,8 % par rapport au premier trimestre 2014.</w:t>
      </w:r>
      <w:r>
        <w:t xml:space="preserve"> </w:t>
      </w:r>
      <w:r w:rsidRPr="00061C2B">
        <w:t xml:space="preserve">La marge </w:t>
      </w:r>
      <w:r w:rsidRPr="00A567AB">
        <w:t xml:space="preserve">nette d’intérêt </w:t>
      </w:r>
      <w:r w:rsidR="000374CB">
        <w:t xml:space="preserve">clientèle diminue de 1,3 % </w:t>
      </w:r>
      <w:r w:rsidRPr="00A567AB">
        <w:t>(hors variation de la provision épargne logement</w:t>
      </w:r>
      <w:r w:rsidRPr="00E746C4">
        <w:rPr>
          <w:color w:val="000000" w:themeColor="text1"/>
        </w:rPr>
        <w:t xml:space="preserve">) </w:t>
      </w:r>
      <w:r w:rsidR="000374CB">
        <w:rPr>
          <w:color w:val="000000" w:themeColor="text1"/>
        </w:rPr>
        <w:t xml:space="preserve">par </w:t>
      </w:r>
      <w:r w:rsidRPr="00E746C4">
        <w:rPr>
          <w:color w:val="000000" w:themeColor="text1"/>
        </w:rPr>
        <w:t xml:space="preserve">rapport au premier trimestre 2014, et les commissions augmentent de 6,9 %. </w:t>
      </w:r>
    </w:p>
    <w:p w:rsidR="00DB7084" w:rsidRPr="00A567AB" w:rsidRDefault="00DB7084" w:rsidP="00DB7084">
      <w:pPr>
        <w:pStyle w:val="2-TEXTECOURANTcommuniqu"/>
      </w:pPr>
    </w:p>
    <w:p w:rsidR="00DB7084" w:rsidRPr="00A567AB" w:rsidRDefault="00DB7084" w:rsidP="00DB7084">
      <w:pPr>
        <w:pStyle w:val="2-TEXTECOURANTcommuniqu"/>
      </w:pPr>
      <w:r w:rsidRPr="00A567AB">
        <w:t xml:space="preserve">Les </w:t>
      </w:r>
      <w:r w:rsidRPr="00A567AB">
        <w:rPr>
          <w:rStyle w:val="lev"/>
        </w:rPr>
        <w:t>frais de gestion</w:t>
      </w:r>
      <w:r w:rsidRPr="00A567AB">
        <w:t xml:space="preserve"> sont bien maîtrisés (- 0,4 %), à 1 217 millions d’euros.</w:t>
      </w:r>
    </w:p>
    <w:p w:rsidR="00DB7084" w:rsidRPr="00A567AB" w:rsidRDefault="00DB7084" w:rsidP="00DB7084">
      <w:pPr>
        <w:pStyle w:val="2-TEXTECOURANTcommuniqu"/>
      </w:pPr>
    </w:p>
    <w:p w:rsidR="00DB7084" w:rsidRPr="00A567AB" w:rsidRDefault="00DB7084" w:rsidP="00DB7084">
      <w:pPr>
        <w:pStyle w:val="2-TEXTECOURANTcommuniqu"/>
      </w:pPr>
      <w:r w:rsidRPr="00A567AB">
        <w:t xml:space="preserve">Le </w:t>
      </w:r>
      <w:r w:rsidRPr="00A567AB">
        <w:rPr>
          <w:rStyle w:val="lev"/>
        </w:rPr>
        <w:t>résultat brut d’exploitation</w:t>
      </w:r>
      <w:r w:rsidRPr="00A567AB">
        <w:t xml:space="preserve"> enregistre une progression de </w:t>
      </w:r>
      <w:r>
        <w:t>1</w:t>
      </w:r>
      <w:r w:rsidRPr="00A567AB">
        <w:t>1,</w:t>
      </w:r>
      <w:r>
        <w:t>4 %, à 650</w:t>
      </w:r>
      <w:r w:rsidRPr="00A567AB">
        <w:t xml:space="preserve"> millions d’euros.</w:t>
      </w:r>
    </w:p>
    <w:p w:rsidR="00DB7084" w:rsidRPr="00A567AB" w:rsidRDefault="00DB7084" w:rsidP="00DB7084">
      <w:pPr>
        <w:pStyle w:val="2-TEXTECOURANTcommuniqu"/>
      </w:pPr>
    </w:p>
    <w:p w:rsidR="000374CB" w:rsidRDefault="000374CB" w:rsidP="000374CB">
      <w:pPr>
        <w:pStyle w:val="2-TEXTECOURANTcommuniqu"/>
      </w:pPr>
      <w:r w:rsidRPr="000164AA">
        <w:t xml:space="preserve">Le </w:t>
      </w:r>
      <w:r w:rsidRPr="000164AA">
        <w:rPr>
          <w:b/>
        </w:rPr>
        <w:t>coût du risque</w:t>
      </w:r>
      <w:r w:rsidRPr="000164AA">
        <w:t xml:space="preserve">, à </w:t>
      </w:r>
      <w:r>
        <w:t>173</w:t>
      </w:r>
      <w:r w:rsidRPr="000164AA">
        <w:t xml:space="preserve"> mill</w:t>
      </w:r>
      <w:r>
        <w:t>ions d’euros, est en hausse de 26</w:t>
      </w:r>
      <w:r w:rsidRPr="000164AA">
        <w:t>,4 % comparé au premier trimestre 2014</w:t>
      </w:r>
      <w:r>
        <w:t xml:space="preserve"> </w:t>
      </w:r>
      <w:r w:rsidR="0004237C">
        <w:t xml:space="preserve">en raison du </w:t>
      </w:r>
      <w:r w:rsidRPr="0004237C">
        <w:t xml:space="preserve">changement de </w:t>
      </w:r>
      <w:r w:rsidR="0004237C">
        <w:t xml:space="preserve">certains </w:t>
      </w:r>
      <w:r w:rsidRPr="0004237C">
        <w:t xml:space="preserve">paramètres de calcul des provisions collectives. Hors changement de </w:t>
      </w:r>
      <w:r w:rsidR="0004237C">
        <w:t xml:space="preserve">méthode, il s’établit en baisse de </w:t>
      </w:r>
      <w:r>
        <w:t xml:space="preserve">2,2 %. </w:t>
      </w:r>
    </w:p>
    <w:p w:rsidR="000374CB" w:rsidRDefault="000374CB" w:rsidP="00DB7084">
      <w:pPr>
        <w:pStyle w:val="2-TEXTECOURANTcommuniqu"/>
      </w:pPr>
    </w:p>
    <w:p w:rsidR="000624A9" w:rsidRDefault="00DB7084" w:rsidP="00DB7084">
      <w:pPr>
        <w:pStyle w:val="2-TEXTECOURANTcommuniqu"/>
      </w:pPr>
      <w:r>
        <w:rPr>
          <w:rStyle w:val="lev"/>
          <w:b w:val="0"/>
        </w:rPr>
        <w:t xml:space="preserve">Le </w:t>
      </w:r>
      <w:r w:rsidRPr="00A567AB">
        <w:rPr>
          <w:rStyle w:val="lev"/>
        </w:rPr>
        <w:t xml:space="preserve">résultat avant impôt </w:t>
      </w:r>
      <w:r>
        <w:t>est de 476</w:t>
      </w:r>
      <w:r w:rsidRPr="00A567AB">
        <w:t xml:space="preserve"> millions d’euros, </w:t>
      </w:r>
      <w:r>
        <w:t>en augmentation de 7,0 % par rapport au premier trimestre 2014</w:t>
      </w:r>
      <w:r w:rsidRPr="00A567AB">
        <w:t>.</w:t>
      </w:r>
      <w:r>
        <w:t xml:space="preserve"> </w:t>
      </w:r>
    </w:p>
    <w:p w:rsidR="000624A9" w:rsidRDefault="000624A9" w:rsidP="00DB7084">
      <w:pPr>
        <w:pStyle w:val="2-TEXTECOURANTcommuniqu"/>
      </w:pPr>
    </w:p>
    <w:p w:rsidR="00A72198" w:rsidRDefault="00366BF3" w:rsidP="00A25990">
      <w:pPr>
        <w:pStyle w:val="2-TEXTECOURANTcommuniqu"/>
        <w:rPr>
          <w:rStyle w:val="orange"/>
          <w:b/>
        </w:rPr>
      </w:pPr>
      <w:r w:rsidRPr="0089517B">
        <w:t xml:space="preserve">En </w:t>
      </w:r>
      <w:r w:rsidR="006170E8">
        <w:t>retraitant</w:t>
      </w:r>
      <w:r w:rsidRPr="0089517B">
        <w:t xml:space="preserve"> l’impact</w:t>
      </w:r>
      <w:r w:rsidR="006170E8">
        <w:t xml:space="preserve"> de l’</w:t>
      </w:r>
      <w:r w:rsidRPr="0089517B">
        <w:t xml:space="preserve">IFRIC 21, </w:t>
      </w:r>
      <w:r w:rsidRPr="0089517B">
        <w:rPr>
          <w:b/>
        </w:rPr>
        <w:t xml:space="preserve">le résultat avant impôt </w:t>
      </w:r>
      <w:r w:rsidRPr="0089517B">
        <w:t xml:space="preserve">s’élève à </w:t>
      </w:r>
      <w:r w:rsidR="000624A9">
        <w:t>531</w:t>
      </w:r>
      <w:r w:rsidRPr="0089517B">
        <w:t xml:space="preserve"> millions d’euros</w:t>
      </w:r>
      <w:r w:rsidR="000624A9" w:rsidRPr="000624A9">
        <w:t xml:space="preserve"> </w:t>
      </w:r>
      <w:r w:rsidR="000624A9">
        <w:t>à fin mars 2015</w:t>
      </w:r>
      <w:r w:rsidRPr="0089517B">
        <w:t xml:space="preserve">, soit une hausse de </w:t>
      </w:r>
      <w:r w:rsidR="000624A9">
        <w:t>4,4</w:t>
      </w:r>
      <w:r w:rsidRPr="0089517B">
        <w:t xml:space="preserve"> % sur un an</w:t>
      </w:r>
      <w:r w:rsidR="000624A9">
        <w:t xml:space="preserve"> par rapport à fin mars 2014</w:t>
      </w:r>
      <w:r w:rsidRPr="0089517B">
        <w:t>.</w:t>
      </w:r>
      <w:r>
        <w:t xml:space="preserve"> </w:t>
      </w:r>
      <w:r w:rsidRPr="00E63FFA">
        <w:t xml:space="preserve">Le </w:t>
      </w:r>
      <w:r w:rsidRPr="00E63FFA">
        <w:rPr>
          <w:b/>
        </w:rPr>
        <w:t>coefficient d’exploitation</w:t>
      </w:r>
      <w:r w:rsidR="000624A9">
        <w:t xml:space="preserve"> </w:t>
      </w:r>
      <w:r w:rsidR="00E915FC">
        <w:t xml:space="preserve">s’améliore </w:t>
      </w:r>
      <w:r w:rsidR="000624A9">
        <w:t>de 1,9</w:t>
      </w:r>
      <w:r>
        <w:t xml:space="preserve"> point, à </w:t>
      </w:r>
      <w:r w:rsidR="000624A9" w:rsidRPr="00C45E3C">
        <w:t>62,3</w:t>
      </w:r>
      <w:r w:rsidRPr="00C45E3C">
        <w:t xml:space="preserve"> %.</w:t>
      </w:r>
    </w:p>
    <w:p w:rsidR="0069247C" w:rsidRDefault="00602E64" w:rsidP="00A72198">
      <w:pPr>
        <w:pStyle w:val="3-Titre2"/>
      </w:pPr>
      <w:r>
        <w:rPr>
          <w:rStyle w:val="orange"/>
        </w:rPr>
        <w:t>3</w:t>
      </w:r>
      <w:r w:rsidR="0069247C" w:rsidRPr="00A72198">
        <w:rPr>
          <w:rStyle w:val="orange"/>
        </w:rPr>
        <w:t>.1.3</w:t>
      </w:r>
      <w:r w:rsidR="003A4476">
        <w:t xml:space="preserve"> </w:t>
      </w:r>
      <w:r w:rsidR="0069247C">
        <w:t>Autres réseaux</w:t>
      </w:r>
    </w:p>
    <w:p w:rsidR="0069247C" w:rsidRDefault="0069247C" w:rsidP="00A72198">
      <w:pPr>
        <w:pStyle w:val="3-Titre3"/>
      </w:pPr>
      <w:r>
        <w:t xml:space="preserve">Financement de l’Immobilier </w:t>
      </w:r>
    </w:p>
    <w:p w:rsidR="0069247C" w:rsidRDefault="0069247C" w:rsidP="0069247C">
      <w:pPr>
        <w:pStyle w:val="2-TEXTECOURANTcommuniqu"/>
      </w:pPr>
    </w:p>
    <w:p w:rsidR="00BE42FC" w:rsidRPr="0074091D" w:rsidRDefault="00BE42FC">
      <w:pPr>
        <w:pStyle w:val="intro"/>
      </w:pPr>
      <w:r w:rsidRPr="0074091D">
        <w:t>Le Crédit Foncier est la principale composante du pôle Financement de l’Immobilier.</w:t>
      </w:r>
    </w:p>
    <w:p w:rsidR="00BE42FC" w:rsidRPr="002B3D74" w:rsidRDefault="00BE42FC" w:rsidP="00BE42FC">
      <w:pPr>
        <w:pStyle w:val="2-TEXTECOURANTcommuniqu"/>
        <w:rPr>
          <w:color w:val="FF0000"/>
        </w:rPr>
      </w:pPr>
    </w:p>
    <w:p w:rsidR="00156A63" w:rsidRDefault="00BE42FC" w:rsidP="00BE42FC">
      <w:pPr>
        <w:pStyle w:val="2-TEXTECOURANTcommuniqu"/>
      </w:pPr>
      <w:r w:rsidRPr="00F049D8">
        <w:t>Dans un marché immobilier</w:t>
      </w:r>
      <w:r w:rsidR="00497F57">
        <w:t xml:space="preserve"> toujours incertain</w:t>
      </w:r>
      <w:r w:rsidRPr="00F049D8">
        <w:t xml:space="preserve">, </w:t>
      </w:r>
      <w:r w:rsidRPr="003E6BDE">
        <w:t>l’activité du Crédit Foncier est restée soutenue</w:t>
      </w:r>
      <w:r w:rsidR="00497F57">
        <w:t xml:space="preserve"> au premier trimestre 2015</w:t>
      </w:r>
      <w:r w:rsidRPr="003E6BDE">
        <w:t xml:space="preserve">. </w:t>
      </w:r>
      <w:r w:rsidRPr="00A10C6C">
        <w:t>La production totale de crédits s’établit ainsi à 2,3 milliards d’euros (1,9</w:t>
      </w:r>
      <w:r w:rsidR="00833736">
        <w:t> </w:t>
      </w:r>
      <w:r w:rsidRPr="00A10C6C">
        <w:t xml:space="preserve">milliard d’euros pour le compte de particuliers et 0,4 milliard d’euros pour le compte des investisseurs immobiliers et des équipements publics), </w:t>
      </w:r>
      <w:r w:rsidRPr="002E38AC">
        <w:t xml:space="preserve">en hausse de </w:t>
      </w:r>
      <w:r>
        <w:t>5 % par rapport au 31 mars 2014</w:t>
      </w:r>
      <w:r w:rsidR="00156A63">
        <w:t>. Cette nouvelle production</w:t>
      </w:r>
      <w:r>
        <w:t xml:space="preserve"> </w:t>
      </w:r>
      <w:r w:rsidR="00156A63">
        <w:t>s’est accompagnée d’une amélioration des marges.</w:t>
      </w:r>
    </w:p>
    <w:p w:rsidR="00156A63" w:rsidRDefault="00156A63" w:rsidP="00BE42FC">
      <w:pPr>
        <w:pStyle w:val="2-TEXTECOURANTcommuniqu"/>
      </w:pPr>
    </w:p>
    <w:p w:rsidR="00BE42FC" w:rsidRDefault="00BE42FC" w:rsidP="00BE42FC">
      <w:pPr>
        <w:pStyle w:val="2-TEXTECOURANTcommuniqu"/>
      </w:pPr>
      <w:r w:rsidRPr="00830C39">
        <w:t xml:space="preserve">Au premier trimestre 2015, </w:t>
      </w:r>
      <w:r w:rsidRPr="00830C39">
        <w:rPr>
          <w:rStyle w:val="lev"/>
        </w:rPr>
        <w:t>le produit net bancaire</w:t>
      </w:r>
      <w:r w:rsidRPr="00830C39">
        <w:t xml:space="preserve"> du pôle Financement de l’Immobilier progresse de 3</w:t>
      </w:r>
      <w:r>
        <w:t>0,3</w:t>
      </w:r>
      <w:r w:rsidRPr="00830C39">
        <w:t xml:space="preserve"> % par rapport au premier trimestre 2014, pour atteindre 2</w:t>
      </w:r>
      <w:r>
        <w:t>19</w:t>
      </w:r>
      <w:r w:rsidRPr="00830C39">
        <w:t xml:space="preserve"> millions d’euros. </w:t>
      </w:r>
    </w:p>
    <w:p w:rsidR="006D54A9" w:rsidRPr="00830C39" w:rsidRDefault="006D54A9" w:rsidP="00BE42FC">
      <w:pPr>
        <w:pStyle w:val="2-TEXTECOURANTcommuniqu"/>
      </w:pPr>
      <w:r>
        <w:t>Retraité d’éléments exceptionnels</w:t>
      </w:r>
      <w:r w:rsidR="007F5E7C">
        <w:t xml:space="preserve">, </w:t>
      </w:r>
      <w:r>
        <w:t xml:space="preserve">notamment de l’impact positif </w:t>
      </w:r>
      <w:r w:rsidR="007F5E7C">
        <w:t xml:space="preserve">du </w:t>
      </w:r>
      <w:proofErr w:type="spellStart"/>
      <w:r w:rsidR="007F5E7C">
        <w:t>credit</w:t>
      </w:r>
      <w:proofErr w:type="spellEnd"/>
      <w:r w:rsidR="007F5E7C">
        <w:t xml:space="preserve"> </w:t>
      </w:r>
      <w:proofErr w:type="spellStart"/>
      <w:r w:rsidR="007F5E7C">
        <w:t>valuation</w:t>
      </w:r>
      <w:proofErr w:type="spellEnd"/>
      <w:r w:rsidR="007F5E7C">
        <w:t xml:space="preserve"> </w:t>
      </w:r>
      <w:proofErr w:type="spellStart"/>
      <w:r w:rsidR="007F5E7C">
        <w:t>adjustment</w:t>
      </w:r>
      <w:proofErr w:type="spellEnd"/>
      <w:r w:rsidR="007F5E7C">
        <w:t xml:space="preserve"> (CVA) et du </w:t>
      </w:r>
      <w:proofErr w:type="spellStart"/>
      <w:r w:rsidR="007F5E7C">
        <w:t>debit</w:t>
      </w:r>
      <w:proofErr w:type="spellEnd"/>
      <w:r w:rsidR="007F5E7C">
        <w:t xml:space="preserve"> </w:t>
      </w:r>
      <w:proofErr w:type="spellStart"/>
      <w:r w:rsidR="007F5E7C">
        <w:t>valuation</w:t>
      </w:r>
      <w:proofErr w:type="spellEnd"/>
      <w:r w:rsidR="007F5E7C">
        <w:t xml:space="preserve"> </w:t>
      </w:r>
      <w:proofErr w:type="spellStart"/>
      <w:r w:rsidR="007F5E7C">
        <w:t>adjustment</w:t>
      </w:r>
      <w:proofErr w:type="spellEnd"/>
      <w:r w:rsidR="007F5E7C">
        <w:t xml:space="preserve"> (</w:t>
      </w:r>
      <w:r>
        <w:t>DVA</w:t>
      </w:r>
      <w:r w:rsidR="007F5E7C">
        <w:t>) ainsi que</w:t>
      </w:r>
      <w:r>
        <w:t xml:space="preserve"> de la cession à BPCE du portefeuille de RMBS intervenue en septembre 2014), la progression est de </w:t>
      </w:r>
      <w:r w:rsidR="00497F57">
        <w:t>7</w:t>
      </w:r>
      <w:r>
        <w:t>,</w:t>
      </w:r>
      <w:r w:rsidR="00497F57">
        <w:t>5</w:t>
      </w:r>
      <w:r>
        <w:t> %.</w:t>
      </w:r>
    </w:p>
    <w:p w:rsidR="00BE42FC" w:rsidRPr="002B3D74" w:rsidRDefault="00BE42FC" w:rsidP="00BE42FC">
      <w:pPr>
        <w:pStyle w:val="2-TEXTECOURANTcommuniqu"/>
        <w:rPr>
          <w:color w:val="FF0000"/>
        </w:rPr>
      </w:pPr>
    </w:p>
    <w:p w:rsidR="00BE42FC" w:rsidRPr="0099644B" w:rsidRDefault="00BE42FC" w:rsidP="00BE42FC">
      <w:pPr>
        <w:pStyle w:val="2-TEXTECOURANTcommuniqu"/>
      </w:pPr>
      <w:r w:rsidRPr="0099644B">
        <w:t>En baisse de 5</w:t>
      </w:r>
      <w:r>
        <w:t>,5</w:t>
      </w:r>
      <w:r w:rsidRPr="0099644B">
        <w:t xml:space="preserve"> %, les </w:t>
      </w:r>
      <w:r w:rsidRPr="0099644B">
        <w:rPr>
          <w:rStyle w:val="lev"/>
        </w:rPr>
        <w:t>frais de gestion</w:t>
      </w:r>
      <w:r w:rsidRPr="0099644B">
        <w:t xml:space="preserve"> restent maîtrisés, en ligne avec le plan </w:t>
      </w:r>
      <w:r>
        <w:t>stratégique</w:t>
      </w:r>
      <w:r w:rsidR="006D3934">
        <w:t xml:space="preserve"> et bénéficient d’une baisse de la taxe de risque systémique des banques (TSB)</w:t>
      </w:r>
      <w:r>
        <w:t>. Ils s’élèvent à 145</w:t>
      </w:r>
      <w:r w:rsidR="005547E2">
        <w:t> </w:t>
      </w:r>
      <w:r w:rsidRPr="0099644B">
        <w:t>millions d’euros à la fin du premier trimestre 2015.</w:t>
      </w:r>
    </w:p>
    <w:p w:rsidR="00BE42FC" w:rsidRPr="002B3D74" w:rsidRDefault="00BE42FC" w:rsidP="00BE42FC">
      <w:pPr>
        <w:pStyle w:val="2-TEXTECOURANTcommuniqu"/>
        <w:rPr>
          <w:color w:val="FF0000"/>
        </w:rPr>
      </w:pPr>
    </w:p>
    <w:p w:rsidR="00CC519F" w:rsidRDefault="0073114C" w:rsidP="00BE42FC">
      <w:pPr>
        <w:pStyle w:val="2-TEXTECOURANTcommuniqu"/>
      </w:pPr>
      <w:r w:rsidRPr="0073114C">
        <w:t>L</w:t>
      </w:r>
      <w:r w:rsidR="00BE42FC" w:rsidRPr="0073114C">
        <w:t xml:space="preserve">e </w:t>
      </w:r>
      <w:r w:rsidR="00BE42FC" w:rsidRPr="0073114C">
        <w:rPr>
          <w:rStyle w:val="lev"/>
        </w:rPr>
        <w:t>coût du risque</w:t>
      </w:r>
      <w:r w:rsidR="00BE42FC" w:rsidRPr="0073114C">
        <w:t xml:space="preserve"> </w:t>
      </w:r>
      <w:r w:rsidRPr="0073114C">
        <w:t>ressort</w:t>
      </w:r>
      <w:r w:rsidR="00A0576D">
        <w:t xml:space="preserve"> </w:t>
      </w:r>
      <w:r w:rsidR="00CC519F" w:rsidRPr="0073114C">
        <w:t>à 25 millions d’euros</w:t>
      </w:r>
      <w:r w:rsidR="00CC519F">
        <w:t xml:space="preserve"> </w:t>
      </w:r>
      <w:r w:rsidR="00A0576D">
        <w:t>(hors activités en gestion extinctive</w:t>
      </w:r>
      <w:r w:rsidR="00497F57">
        <w:rPr>
          <w:rStyle w:val="Appelnotedebasdep"/>
        </w:rPr>
        <w:footnoteReference w:id="19"/>
      </w:r>
      <w:r w:rsidR="00A0576D">
        <w:t>)</w:t>
      </w:r>
      <w:r w:rsidR="00A17BCB">
        <w:t>.</w:t>
      </w:r>
      <w:r w:rsidR="00A0576D">
        <w:t xml:space="preserve"> </w:t>
      </w:r>
    </w:p>
    <w:p w:rsidR="0073114C" w:rsidRDefault="0073114C" w:rsidP="00BE42FC">
      <w:pPr>
        <w:pStyle w:val="2-TEXTECOURANTcommuniqu"/>
        <w:rPr>
          <w:color w:val="FF0000"/>
          <w:highlight w:val="yellow"/>
        </w:rPr>
      </w:pPr>
    </w:p>
    <w:p w:rsidR="0069247C" w:rsidRDefault="00C95CE1" w:rsidP="0069247C">
      <w:pPr>
        <w:pStyle w:val="2-TEXTECOURANTcommuniqu"/>
      </w:pPr>
      <w:r>
        <w:t xml:space="preserve">Le </w:t>
      </w:r>
      <w:r w:rsidRPr="00C95CE1">
        <w:rPr>
          <w:b/>
        </w:rPr>
        <w:t>résultat avant impôt</w:t>
      </w:r>
      <w:r>
        <w:t xml:space="preserve"> s’élève à 50 millions d’euros au 31 mars 2015.</w:t>
      </w:r>
    </w:p>
    <w:p w:rsidR="00C95CE1" w:rsidRDefault="00C95CE1" w:rsidP="0069247C">
      <w:pPr>
        <w:pStyle w:val="2-TEXTECOURANTcommuniqu"/>
      </w:pPr>
    </w:p>
    <w:p w:rsidR="00C95CE1" w:rsidRDefault="00C95CE1" w:rsidP="0069247C">
      <w:pPr>
        <w:pStyle w:val="2-TEXTECOURANTcommuniqu"/>
      </w:pPr>
      <w:r>
        <w:t xml:space="preserve">En retraitant l’impact de l’IFRIC 21, le </w:t>
      </w:r>
      <w:r w:rsidRPr="00C95CE1">
        <w:rPr>
          <w:b/>
        </w:rPr>
        <w:t xml:space="preserve">résultat avant impôt </w:t>
      </w:r>
      <w:r>
        <w:t>s’établit à 67 millions d’euros au 31</w:t>
      </w:r>
      <w:r w:rsidR="005547E2">
        <w:t> </w:t>
      </w:r>
      <w:r>
        <w:t xml:space="preserve">mars 2015. Le </w:t>
      </w:r>
      <w:r w:rsidRPr="00C95CE1">
        <w:rPr>
          <w:b/>
        </w:rPr>
        <w:t>coefficient d’exploitation</w:t>
      </w:r>
      <w:r>
        <w:t xml:space="preserve"> ressort à 58,6 %, en diminution de 19,2 points.</w:t>
      </w:r>
    </w:p>
    <w:p w:rsidR="00585A01" w:rsidRDefault="0069247C">
      <w:pPr>
        <w:jc w:val="left"/>
        <w:rPr>
          <w:spacing w:val="-4"/>
          <w:sz w:val="20"/>
          <w:szCs w:val="20"/>
        </w:rPr>
      </w:pPr>
      <w:r>
        <w:t> </w:t>
      </w:r>
      <w:r w:rsidR="00585A01">
        <w:br w:type="page"/>
      </w:r>
    </w:p>
    <w:p w:rsidR="00A72198" w:rsidRDefault="00A72198" w:rsidP="00A25990">
      <w:pPr>
        <w:pStyle w:val="2-TEXTECOURANTcommuniqu"/>
        <w:rPr>
          <w:b/>
        </w:rPr>
      </w:pPr>
    </w:p>
    <w:p w:rsidR="0069247C" w:rsidRDefault="00E54AB1" w:rsidP="00A72198">
      <w:pPr>
        <w:pStyle w:val="3-Titre3"/>
      </w:pPr>
      <w:r>
        <w:t>CN</w:t>
      </w:r>
      <w:r w:rsidR="00014DE5">
        <w:t>P et autres</w:t>
      </w:r>
    </w:p>
    <w:p w:rsidR="0069247C" w:rsidRDefault="0069247C" w:rsidP="0069247C">
      <w:pPr>
        <w:pStyle w:val="2-TEXTECOURANTcommuniqu"/>
      </w:pPr>
    </w:p>
    <w:p w:rsidR="006060A1" w:rsidRPr="00073F9F" w:rsidRDefault="006060A1">
      <w:pPr>
        <w:pStyle w:val="intro"/>
      </w:pPr>
      <w:r w:rsidRPr="00073F9F">
        <w:t>La principale composante est la participation minoritaire dans CNP Assurances, consolidée par mise en équivalence.</w:t>
      </w:r>
    </w:p>
    <w:p w:rsidR="006060A1" w:rsidRDefault="006060A1" w:rsidP="00DC280C">
      <w:pPr>
        <w:pStyle w:val="2-TEXTECOURANTcommuniqu"/>
        <w:rPr>
          <w:color w:val="000000" w:themeColor="text1"/>
        </w:rPr>
      </w:pPr>
    </w:p>
    <w:p w:rsidR="00DC280C" w:rsidRPr="00073F9F" w:rsidRDefault="00DC280C" w:rsidP="00DC280C">
      <w:pPr>
        <w:pStyle w:val="2-TEXTECOURANTcommuniqu"/>
        <w:rPr>
          <w:color w:val="000000" w:themeColor="text1"/>
        </w:rPr>
      </w:pPr>
      <w:r w:rsidRPr="00073F9F">
        <w:rPr>
          <w:color w:val="000000" w:themeColor="text1"/>
        </w:rPr>
        <w:t>En assurance vie, la collecte brute des Caisses d’Epargne s’élève à 2,9 milliards d’euros au premier trimestre 2015, en hausse de 9 %</w:t>
      </w:r>
      <w:r w:rsidR="00405D7A">
        <w:rPr>
          <w:color w:val="000000" w:themeColor="text1"/>
        </w:rPr>
        <w:t>, p</w:t>
      </w:r>
      <w:r w:rsidRPr="00073F9F">
        <w:rPr>
          <w:color w:val="000000" w:themeColor="text1"/>
        </w:rPr>
        <w:t>ortée par la gestion privée</w:t>
      </w:r>
      <w:r>
        <w:rPr>
          <w:color w:val="000000" w:themeColor="text1"/>
        </w:rPr>
        <w:t xml:space="preserve"> </w:t>
      </w:r>
      <w:r w:rsidR="0004237C">
        <w:rPr>
          <w:color w:val="000000" w:themeColor="text1"/>
        </w:rPr>
        <w:t xml:space="preserve">qui </w:t>
      </w:r>
      <w:r>
        <w:rPr>
          <w:color w:val="000000" w:themeColor="text1"/>
        </w:rPr>
        <w:t>représent</w:t>
      </w:r>
      <w:r w:rsidR="0004237C">
        <w:rPr>
          <w:color w:val="000000" w:themeColor="text1"/>
        </w:rPr>
        <w:t>e</w:t>
      </w:r>
      <w:r>
        <w:rPr>
          <w:color w:val="000000" w:themeColor="text1"/>
        </w:rPr>
        <w:t xml:space="preserve"> </w:t>
      </w:r>
      <w:r w:rsidRPr="00073F9F">
        <w:rPr>
          <w:color w:val="000000" w:themeColor="text1"/>
        </w:rPr>
        <w:t xml:space="preserve">59,3 % de </w:t>
      </w:r>
      <w:r w:rsidR="00405D7A">
        <w:rPr>
          <w:color w:val="000000" w:themeColor="text1"/>
        </w:rPr>
        <w:t>cette</w:t>
      </w:r>
      <w:r w:rsidRPr="00073F9F">
        <w:rPr>
          <w:color w:val="000000" w:themeColor="text1"/>
        </w:rPr>
        <w:t xml:space="preserve"> collecte (</w:t>
      </w:r>
      <w:r>
        <w:rPr>
          <w:color w:val="000000" w:themeColor="text1"/>
        </w:rPr>
        <w:t>contre</w:t>
      </w:r>
      <w:r w:rsidRPr="00073F9F">
        <w:rPr>
          <w:color w:val="000000" w:themeColor="text1"/>
        </w:rPr>
        <w:t xml:space="preserve"> 57,5 % au premier trimestre 2014).</w:t>
      </w:r>
    </w:p>
    <w:p w:rsidR="00DC280C" w:rsidRPr="00073F9F" w:rsidRDefault="00DC280C" w:rsidP="00DC280C">
      <w:pPr>
        <w:pStyle w:val="2-TEXTECOURANTcommuniqu"/>
        <w:rPr>
          <w:color w:val="000000" w:themeColor="text1"/>
        </w:rPr>
      </w:pPr>
    </w:p>
    <w:p w:rsidR="00DC280C" w:rsidRPr="00073F9F" w:rsidRDefault="00DC280C" w:rsidP="00DC280C">
      <w:pPr>
        <w:pStyle w:val="2-TEXTECOURANTcommuniqu"/>
        <w:rPr>
          <w:color w:val="000000" w:themeColor="text1"/>
        </w:rPr>
      </w:pPr>
      <w:r w:rsidRPr="00073F9F">
        <w:rPr>
          <w:color w:val="000000" w:themeColor="text1"/>
        </w:rPr>
        <w:t>La collecte en unités de compte a représenté 23,7 % de la collecte</w:t>
      </w:r>
      <w:r w:rsidR="00405D7A">
        <w:rPr>
          <w:color w:val="000000" w:themeColor="text1"/>
        </w:rPr>
        <w:t xml:space="preserve"> brute</w:t>
      </w:r>
      <w:r w:rsidRPr="00073F9F">
        <w:rPr>
          <w:color w:val="000000" w:themeColor="text1"/>
        </w:rPr>
        <w:t xml:space="preserve"> totale au 31 mars 2015 (</w:t>
      </w:r>
      <w:r>
        <w:rPr>
          <w:color w:val="000000" w:themeColor="text1"/>
        </w:rPr>
        <w:t>contre</w:t>
      </w:r>
      <w:r w:rsidRPr="00073F9F">
        <w:rPr>
          <w:color w:val="000000" w:themeColor="text1"/>
        </w:rPr>
        <w:t xml:space="preserve"> 13,5 % au </w:t>
      </w:r>
      <w:r>
        <w:rPr>
          <w:color w:val="000000" w:themeColor="text1"/>
        </w:rPr>
        <w:t>31 mars</w:t>
      </w:r>
      <w:r w:rsidRPr="00073F9F">
        <w:rPr>
          <w:color w:val="000000" w:themeColor="text1"/>
        </w:rPr>
        <w:t xml:space="preserve"> 2014)</w:t>
      </w:r>
      <w:r>
        <w:rPr>
          <w:color w:val="000000" w:themeColor="text1"/>
        </w:rPr>
        <w:t xml:space="preserve"> reflétant</w:t>
      </w:r>
      <w:r w:rsidRPr="00073F9F">
        <w:rPr>
          <w:color w:val="000000" w:themeColor="text1"/>
        </w:rPr>
        <w:t xml:space="preserve"> </w:t>
      </w:r>
      <w:r w:rsidR="00F075C8">
        <w:rPr>
          <w:color w:val="000000" w:themeColor="text1"/>
        </w:rPr>
        <w:t>une</w:t>
      </w:r>
      <w:r w:rsidRPr="00073F9F">
        <w:rPr>
          <w:color w:val="000000" w:themeColor="text1"/>
        </w:rPr>
        <w:t xml:space="preserve"> bonne dynamique commerciale.</w:t>
      </w:r>
    </w:p>
    <w:p w:rsidR="00636C7E" w:rsidRDefault="00636C7E" w:rsidP="00DC280C">
      <w:pPr>
        <w:pStyle w:val="2-TEXTECOURANTcommuniqu"/>
      </w:pPr>
    </w:p>
    <w:p w:rsidR="00DC280C" w:rsidRDefault="00DC280C" w:rsidP="00DC280C">
      <w:pPr>
        <w:pStyle w:val="3-Titre3"/>
      </w:pPr>
      <w:r>
        <w:t xml:space="preserve">BPCE IOM </w:t>
      </w:r>
    </w:p>
    <w:p w:rsidR="00DC280C" w:rsidRDefault="00DC280C" w:rsidP="00DC280C">
      <w:pPr>
        <w:pStyle w:val="2-TEXTECOURANTcommuniqu"/>
      </w:pPr>
    </w:p>
    <w:p w:rsidR="00DC280C" w:rsidRPr="001659A3" w:rsidRDefault="00DC280C">
      <w:pPr>
        <w:pStyle w:val="intro"/>
      </w:pPr>
      <w:r w:rsidRPr="001659A3">
        <w:t>BPCE International et Outre-mer (BPCE IOM) regroupe les filiales internationales et outre-mer du Groupe BPCE hors Natixis.</w:t>
      </w:r>
    </w:p>
    <w:p w:rsidR="00DC280C" w:rsidRPr="00073F9F" w:rsidRDefault="00DC280C" w:rsidP="00DC280C">
      <w:pPr>
        <w:pStyle w:val="2-TEXTECOURANTcommuniqu"/>
        <w:rPr>
          <w:color w:val="000000" w:themeColor="text1"/>
        </w:rPr>
      </w:pPr>
    </w:p>
    <w:p w:rsidR="00DC280C" w:rsidRPr="00073F9F" w:rsidRDefault="00DC280C" w:rsidP="00DC280C">
      <w:pPr>
        <w:pStyle w:val="2-TEXTECOURANTcommuniqu"/>
        <w:rPr>
          <w:color w:val="000000" w:themeColor="text1"/>
        </w:rPr>
      </w:pPr>
      <w:r w:rsidRPr="00073F9F">
        <w:rPr>
          <w:color w:val="000000" w:themeColor="text1"/>
        </w:rPr>
        <w:t>Les encours d’épargne de BPCE IOM affichent une croissance de 9,0 %, s’établissant à 8,6 milliards d’euros au 31 mars 2015</w:t>
      </w:r>
      <w:r>
        <w:rPr>
          <w:color w:val="000000" w:themeColor="text1"/>
        </w:rPr>
        <w:t>. Cette progression est</w:t>
      </w:r>
      <w:r w:rsidR="00405D7A">
        <w:rPr>
          <w:color w:val="000000" w:themeColor="text1"/>
        </w:rPr>
        <w:t xml:space="preserve">, notamment, </w:t>
      </w:r>
      <w:r w:rsidRPr="00073F9F">
        <w:rPr>
          <w:color w:val="000000" w:themeColor="text1"/>
        </w:rPr>
        <w:t>portée par l’épargne de bilan</w:t>
      </w:r>
      <w:r w:rsidR="00405D7A">
        <w:rPr>
          <w:color w:val="000000" w:themeColor="text1"/>
        </w:rPr>
        <w:t xml:space="preserve"> : + 9,9 % sur les dépôts à vue et </w:t>
      </w:r>
      <w:r w:rsidRPr="00073F9F">
        <w:rPr>
          <w:color w:val="000000" w:themeColor="text1"/>
        </w:rPr>
        <w:t>+</w:t>
      </w:r>
      <w:r>
        <w:rPr>
          <w:color w:val="000000" w:themeColor="text1"/>
        </w:rPr>
        <w:t> </w:t>
      </w:r>
      <w:r w:rsidRPr="00073F9F">
        <w:rPr>
          <w:color w:val="000000" w:themeColor="text1"/>
        </w:rPr>
        <w:t>10,7</w:t>
      </w:r>
      <w:r>
        <w:rPr>
          <w:color w:val="000000" w:themeColor="text1"/>
        </w:rPr>
        <w:t> </w:t>
      </w:r>
      <w:r w:rsidRPr="00073F9F">
        <w:rPr>
          <w:color w:val="000000" w:themeColor="text1"/>
        </w:rPr>
        <w:t>%</w:t>
      </w:r>
      <w:r w:rsidR="00405D7A">
        <w:rPr>
          <w:color w:val="000000" w:themeColor="text1"/>
        </w:rPr>
        <w:t xml:space="preserve"> sur les autres produits de bilan</w:t>
      </w:r>
      <w:r w:rsidRPr="00073F9F">
        <w:rPr>
          <w:color w:val="000000" w:themeColor="text1"/>
        </w:rPr>
        <w:t xml:space="preserve">. </w:t>
      </w:r>
      <w:r w:rsidR="00405D7A">
        <w:rPr>
          <w:color w:val="000000" w:themeColor="text1"/>
        </w:rPr>
        <w:t>L</w:t>
      </w:r>
      <w:r>
        <w:rPr>
          <w:color w:val="000000" w:themeColor="text1"/>
        </w:rPr>
        <w:t>’</w:t>
      </w:r>
      <w:r w:rsidRPr="00073F9F">
        <w:rPr>
          <w:color w:val="000000" w:themeColor="text1"/>
        </w:rPr>
        <w:t xml:space="preserve">épargne </w:t>
      </w:r>
      <w:r w:rsidR="00E4642E">
        <w:rPr>
          <w:color w:val="000000" w:themeColor="text1"/>
        </w:rPr>
        <w:t>financière est en légère baisse</w:t>
      </w:r>
      <w:r w:rsidR="008E4C55">
        <w:rPr>
          <w:color w:val="000000" w:themeColor="text1"/>
        </w:rPr>
        <w:t xml:space="preserve"> de</w:t>
      </w:r>
      <w:r w:rsidRPr="00073F9F">
        <w:rPr>
          <w:color w:val="000000" w:themeColor="text1"/>
        </w:rPr>
        <w:t> 0,2 % sur un an.</w:t>
      </w:r>
    </w:p>
    <w:p w:rsidR="00DC280C" w:rsidRDefault="00DC280C" w:rsidP="00DC280C">
      <w:pPr>
        <w:pStyle w:val="2-TEXTECOURANTcommuniqu"/>
        <w:rPr>
          <w:color w:val="000000" w:themeColor="text1"/>
        </w:rPr>
      </w:pPr>
      <w:r w:rsidRPr="00073F9F">
        <w:rPr>
          <w:color w:val="000000" w:themeColor="text1"/>
        </w:rPr>
        <w:t>Les encours de crédit</w:t>
      </w:r>
      <w:r>
        <w:rPr>
          <w:color w:val="000000" w:themeColor="text1"/>
        </w:rPr>
        <w:t>,</w:t>
      </w:r>
      <w:r w:rsidRPr="00073F9F">
        <w:rPr>
          <w:color w:val="000000" w:themeColor="text1"/>
        </w:rPr>
        <w:t xml:space="preserve"> à fin mars 2015</w:t>
      </w:r>
      <w:r>
        <w:rPr>
          <w:color w:val="000000" w:themeColor="text1"/>
        </w:rPr>
        <w:t>,</w:t>
      </w:r>
      <w:r w:rsidRPr="00073F9F">
        <w:rPr>
          <w:color w:val="000000" w:themeColor="text1"/>
        </w:rPr>
        <w:t xml:space="preserve"> sont en hausse de 5,2</w:t>
      </w:r>
      <w:r>
        <w:rPr>
          <w:color w:val="000000" w:themeColor="text1"/>
        </w:rPr>
        <w:t xml:space="preserve"> %</w:t>
      </w:r>
      <w:r w:rsidRPr="00073F9F">
        <w:rPr>
          <w:color w:val="000000" w:themeColor="text1"/>
        </w:rPr>
        <w:t xml:space="preserve"> </w:t>
      </w:r>
      <w:r>
        <w:rPr>
          <w:color w:val="000000" w:themeColor="text1"/>
        </w:rPr>
        <w:t xml:space="preserve">et s’établissent </w:t>
      </w:r>
      <w:r w:rsidRPr="00073F9F">
        <w:rPr>
          <w:color w:val="000000" w:themeColor="text1"/>
        </w:rPr>
        <w:t xml:space="preserve">à 9,3 milliards d’euros. Sur le marché des particuliers, la croissance </w:t>
      </w:r>
      <w:r w:rsidR="00EC4D86">
        <w:rPr>
          <w:color w:val="000000" w:themeColor="text1"/>
        </w:rPr>
        <w:t>d</w:t>
      </w:r>
      <w:r w:rsidR="00EC4D86" w:rsidRPr="00073F9F">
        <w:rPr>
          <w:color w:val="000000" w:themeColor="text1"/>
        </w:rPr>
        <w:t xml:space="preserve">es crédits immobiliers </w:t>
      </w:r>
      <w:r w:rsidRPr="00073F9F">
        <w:rPr>
          <w:color w:val="000000" w:themeColor="text1"/>
        </w:rPr>
        <w:t>reste soutenue</w:t>
      </w:r>
      <w:r w:rsidR="00EC4D86">
        <w:rPr>
          <w:color w:val="000000" w:themeColor="text1"/>
        </w:rPr>
        <w:t xml:space="preserve"> </w:t>
      </w:r>
      <w:r w:rsidRPr="00073F9F">
        <w:rPr>
          <w:color w:val="000000" w:themeColor="text1"/>
        </w:rPr>
        <w:t>(</w:t>
      </w:r>
      <w:r w:rsidR="00095714">
        <w:rPr>
          <w:color w:val="000000" w:themeColor="text1"/>
        </w:rPr>
        <w:t>+ </w:t>
      </w:r>
      <w:r w:rsidRPr="00073F9F">
        <w:rPr>
          <w:color w:val="000000" w:themeColor="text1"/>
        </w:rPr>
        <w:t>7,3</w:t>
      </w:r>
      <w:r w:rsidR="00471D08">
        <w:rPr>
          <w:color w:val="000000" w:themeColor="text1"/>
        </w:rPr>
        <w:t> </w:t>
      </w:r>
      <w:r w:rsidRPr="00073F9F">
        <w:rPr>
          <w:color w:val="000000" w:themeColor="text1"/>
        </w:rPr>
        <w:t xml:space="preserve">%). Les crédits </w:t>
      </w:r>
      <w:r>
        <w:rPr>
          <w:color w:val="000000" w:themeColor="text1"/>
        </w:rPr>
        <w:t>moyen-</w:t>
      </w:r>
      <w:r w:rsidRPr="00073F9F">
        <w:rPr>
          <w:color w:val="000000" w:themeColor="text1"/>
        </w:rPr>
        <w:t>long terme</w:t>
      </w:r>
      <w:r>
        <w:rPr>
          <w:color w:val="000000" w:themeColor="text1"/>
        </w:rPr>
        <w:t xml:space="preserve"> et </w:t>
      </w:r>
      <w:r w:rsidR="0078111C">
        <w:rPr>
          <w:color w:val="000000" w:themeColor="text1"/>
        </w:rPr>
        <w:t xml:space="preserve">les crédits </w:t>
      </w:r>
      <w:r>
        <w:rPr>
          <w:color w:val="000000" w:themeColor="text1"/>
        </w:rPr>
        <w:t xml:space="preserve">court terme </w:t>
      </w:r>
      <w:r w:rsidR="0078111C">
        <w:rPr>
          <w:color w:val="000000" w:themeColor="text1"/>
        </w:rPr>
        <w:t>accordés aux entreprises</w:t>
      </w:r>
      <w:r w:rsidR="0078111C" w:rsidRPr="00073F9F">
        <w:rPr>
          <w:color w:val="000000" w:themeColor="text1"/>
        </w:rPr>
        <w:t xml:space="preserve"> </w:t>
      </w:r>
      <w:r w:rsidRPr="00073F9F">
        <w:rPr>
          <w:color w:val="000000" w:themeColor="text1"/>
        </w:rPr>
        <w:t>présente</w:t>
      </w:r>
      <w:r>
        <w:rPr>
          <w:color w:val="000000" w:themeColor="text1"/>
        </w:rPr>
        <w:t>nt</w:t>
      </w:r>
      <w:r w:rsidRPr="00073F9F">
        <w:rPr>
          <w:color w:val="000000" w:themeColor="text1"/>
        </w:rPr>
        <w:t xml:space="preserve"> une belle progression de </w:t>
      </w:r>
      <w:r>
        <w:rPr>
          <w:color w:val="000000" w:themeColor="text1"/>
        </w:rPr>
        <w:t xml:space="preserve">respectivement </w:t>
      </w:r>
      <w:r w:rsidRPr="00073F9F">
        <w:rPr>
          <w:color w:val="000000" w:themeColor="text1"/>
        </w:rPr>
        <w:t xml:space="preserve">3,7 % </w:t>
      </w:r>
      <w:r>
        <w:rPr>
          <w:color w:val="000000" w:themeColor="text1"/>
        </w:rPr>
        <w:t xml:space="preserve">et </w:t>
      </w:r>
      <w:r w:rsidRPr="00073F9F">
        <w:rPr>
          <w:color w:val="000000" w:themeColor="text1"/>
        </w:rPr>
        <w:t xml:space="preserve">4,8 % sur </w:t>
      </w:r>
      <w:r>
        <w:rPr>
          <w:color w:val="000000" w:themeColor="text1"/>
        </w:rPr>
        <w:t>un an</w:t>
      </w:r>
      <w:r w:rsidRPr="00073F9F">
        <w:rPr>
          <w:color w:val="000000" w:themeColor="text1"/>
        </w:rPr>
        <w:t xml:space="preserve">. </w:t>
      </w:r>
    </w:p>
    <w:p w:rsidR="004F44A8" w:rsidRDefault="004F44A8" w:rsidP="00DC280C">
      <w:pPr>
        <w:pStyle w:val="2-TEXTECOURANTcommuniqu"/>
        <w:rPr>
          <w:color w:val="000000" w:themeColor="text1"/>
        </w:rPr>
      </w:pPr>
    </w:p>
    <w:p w:rsidR="004F44A8" w:rsidRPr="00073F9F" w:rsidRDefault="004F44A8" w:rsidP="004F44A8">
      <w:pPr>
        <w:pStyle w:val="2-TEXTECOURANTcommuniqu"/>
        <w:rPr>
          <w:color w:val="000000" w:themeColor="text1"/>
        </w:rPr>
      </w:pPr>
      <w:r>
        <w:rPr>
          <w:color w:val="000000" w:themeColor="text1"/>
        </w:rPr>
        <w:t xml:space="preserve">La contribution de BPCE IOM au résultat avant impôt </w:t>
      </w:r>
      <w:r>
        <w:t>retraité de l’impact de l’IFRIC 21, s’établit à 31 millions d’euros au 31 mars 2015, en baisse de 0,6 % par rapport au premier trimestre 2014.</w:t>
      </w:r>
    </w:p>
    <w:p w:rsidR="004F44A8" w:rsidRPr="00073F9F" w:rsidRDefault="004F44A8" w:rsidP="00DC280C">
      <w:pPr>
        <w:pStyle w:val="2-TEXTECOURANTcommuniqu"/>
        <w:rPr>
          <w:color w:val="000000" w:themeColor="text1"/>
        </w:rPr>
      </w:pPr>
    </w:p>
    <w:p w:rsidR="00DC280C" w:rsidRPr="00073F9F" w:rsidRDefault="00DC280C" w:rsidP="00DC280C">
      <w:pPr>
        <w:pStyle w:val="2-TEXTECOURANTcommuniqu"/>
        <w:rPr>
          <w:color w:val="000000" w:themeColor="text1"/>
        </w:rPr>
      </w:pPr>
    </w:p>
    <w:p w:rsidR="00DC280C" w:rsidRPr="00073F9F" w:rsidRDefault="00DC280C" w:rsidP="00DC280C">
      <w:pPr>
        <w:pStyle w:val="3-Titre3"/>
        <w:rPr>
          <w:color w:val="000000" w:themeColor="text1"/>
        </w:rPr>
      </w:pPr>
      <w:r w:rsidRPr="00073F9F">
        <w:rPr>
          <w:color w:val="000000" w:themeColor="text1"/>
        </w:rPr>
        <w:t>Banque Palatine</w:t>
      </w:r>
      <w:r w:rsidR="00014DE5">
        <w:rPr>
          <w:rStyle w:val="Appelnotedebasdep"/>
          <w:color w:val="000000" w:themeColor="text1"/>
        </w:rPr>
        <w:footnoteReference w:id="20"/>
      </w:r>
    </w:p>
    <w:p w:rsidR="00DC280C" w:rsidRPr="00073F9F" w:rsidRDefault="00DC280C" w:rsidP="00DC280C">
      <w:pPr>
        <w:pStyle w:val="2-TEXTECOURANTcommuniqu"/>
        <w:rPr>
          <w:color w:val="000000" w:themeColor="text1"/>
        </w:rPr>
      </w:pPr>
    </w:p>
    <w:p w:rsidR="00DC280C" w:rsidRPr="00073F9F" w:rsidRDefault="00DC280C" w:rsidP="00DC280C">
      <w:pPr>
        <w:pStyle w:val="2-TEXTECOURANTcommuniqu"/>
        <w:rPr>
          <w:color w:val="000000" w:themeColor="text1"/>
        </w:rPr>
      </w:pPr>
      <w:r w:rsidRPr="00073F9F">
        <w:rPr>
          <w:color w:val="000000" w:themeColor="text1"/>
        </w:rPr>
        <w:t xml:space="preserve">Au 31 mars 2015, les </w:t>
      </w:r>
      <w:r w:rsidR="00014DE5">
        <w:rPr>
          <w:color w:val="000000" w:themeColor="text1"/>
        </w:rPr>
        <w:t xml:space="preserve">encours </w:t>
      </w:r>
      <w:r w:rsidRPr="00073F9F">
        <w:rPr>
          <w:color w:val="000000" w:themeColor="text1"/>
        </w:rPr>
        <w:t>d’épargne de Banque Palatine s’établissent à 17 milliards d’euros, en hausse de 2,4 % sur un an. L’épargne de bilan a progressé de 9,2 %, compensant partiellement la baisse de 11,6 % de l’épargne financière.</w:t>
      </w:r>
    </w:p>
    <w:p w:rsidR="00DC280C" w:rsidRPr="00073F9F" w:rsidRDefault="00DC280C" w:rsidP="00DC280C">
      <w:pPr>
        <w:pStyle w:val="2-TEXTECOURANTcommuniqu"/>
        <w:rPr>
          <w:color w:val="000000" w:themeColor="text1"/>
        </w:rPr>
      </w:pPr>
      <w:r w:rsidRPr="00073F9F">
        <w:rPr>
          <w:color w:val="000000" w:themeColor="text1"/>
        </w:rPr>
        <w:t xml:space="preserve">Le marché des entreprises </w:t>
      </w:r>
      <w:r>
        <w:rPr>
          <w:color w:val="000000" w:themeColor="text1"/>
        </w:rPr>
        <w:t xml:space="preserve">affiche une nette progression de ses encours de </w:t>
      </w:r>
      <w:r w:rsidRPr="00073F9F">
        <w:rPr>
          <w:color w:val="000000" w:themeColor="text1"/>
        </w:rPr>
        <w:t>bilan (+ 10,3 %).</w:t>
      </w:r>
      <w:r w:rsidRPr="00073F9F">
        <w:rPr>
          <w:color w:val="000000" w:themeColor="text1"/>
        </w:rPr>
        <w:tab/>
      </w:r>
    </w:p>
    <w:p w:rsidR="00DC280C" w:rsidRPr="00073F9F" w:rsidRDefault="00DC280C" w:rsidP="00DC280C">
      <w:pPr>
        <w:pStyle w:val="2-TEXTECOURANTcommuniqu"/>
        <w:rPr>
          <w:color w:val="000000" w:themeColor="text1"/>
        </w:rPr>
      </w:pPr>
      <w:r w:rsidRPr="00073F9F">
        <w:rPr>
          <w:color w:val="000000" w:themeColor="text1"/>
        </w:rPr>
        <w:t>La clientèle privée bénéficie d’une dynamique favorable tant pour l’épargne financière (+ 3,2 %) que bilancielle (+ 1,3 %).</w:t>
      </w:r>
    </w:p>
    <w:p w:rsidR="00DC280C" w:rsidRPr="00073F9F" w:rsidRDefault="00DC280C" w:rsidP="00DC280C">
      <w:pPr>
        <w:pStyle w:val="2-TEXTECOURANTcommuniqu"/>
        <w:rPr>
          <w:color w:val="000000" w:themeColor="text1"/>
        </w:rPr>
      </w:pPr>
    </w:p>
    <w:p w:rsidR="00DC280C" w:rsidRPr="00073F9F" w:rsidRDefault="00DC280C" w:rsidP="00E660C9">
      <w:pPr>
        <w:rPr>
          <w:color w:val="000000" w:themeColor="text1"/>
        </w:rPr>
      </w:pPr>
      <w:r w:rsidRPr="00E660C9">
        <w:rPr>
          <w:color w:val="000000" w:themeColor="text1"/>
          <w:sz w:val="20"/>
          <w:szCs w:val="20"/>
        </w:rPr>
        <w:t>Les encours de crédit, en hausse de 11,3 %, s’élève</w:t>
      </w:r>
      <w:r w:rsidR="0068238E" w:rsidRPr="00E660C9">
        <w:rPr>
          <w:color w:val="000000" w:themeColor="text1"/>
          <w:sz w:val="20"/>
          <w:szCs w:val="20"/>
        </w:rPr>
        <w:t>nt</w:t>
      </w:r>
      <w:r w:rsidRPr="00E660C9">
        <w:rPr>
          <w:color w:val="000000" w:themeColor="text1"/>
          <w:sz w:val="20"/>
          <w:szCs w:val="20"/>
        </w:rPr>
        <w:t xml:space="preserve"> à 8 milliards d’euros. </w:t>
      </w:r>
      <w:r w:rsidR="00405D7A" w:rsidRPr="00E660C9">
        <w:rPr>
          <w:color w:val="000000" w:themeColor="text1"/>
          <w:sz w:val="20"/>
          <w:szCs w:val="20"/>
        </w:rPr>
        <w:t xml:space="preserve">Reflétant le dynamisme de la production des crédits moyen-long terme, les encours de crédit aux </w:t>
      </w:r>
      <w:r w:rsidR="008E079A" w:rsidRPr="00E660C9">
        <w:rPr>
          <w:color w:val="000000" w:themeColor="text1"/>
          <w:sz w:val="20"/>
          <w:szCs w:val="20"/>
        </w:rPr>
        <w:t>e</w:t>
      </w:r>
      <w:r w:rsidRPr="00E660C9">
        <w:rPr>
          <w:color w:val="000000" w:themeColor="text1"/>
          <w:sz w:val="20"/>
          <w:szCs w:val="20"/>
        </w:rPr>
        <w:t>ntreprises progresse</w:t>
      </w:r>
      <w:r w:rsidR="00405D7A" w:rsidRPr="00E660C9">
        <w:rPr>
          <w:color w:val="000000" w:themeColor="text1"/>
          <w:sz w:val="20"/>
          <w:szCs w:val="20"/>
        </w:rPr>
        <w:t>nt</w:t>
      </w:r>
      <w:r w:rsidRPr="00E660C9">
        <w:rPr>
          <w:color w:val="000000" w:themeColor="text1"/>
          <w:sz w:val="20"/>
          <w:szCs w:val="20"/>
        </w:rPr>
        <w:t xml:space="preserve"> de 14,9 % sur un an</w:t>
      </w:r>
      <w:r w:rsidR="00405D7A" w:rsidRPr="00E660C9">
        <w:rPr>
          <w:color w:val="000000" w:themeColor="text1"/>
          <w:sz w:val="20"/>
          <w:szCs w:val="20"/>
        </w:rPr>
        <w:t xml:space="preserve">. </w:t>
      </w:r>
      <w:r w:rsidR="00E660C9" w:rsidRPr="00E660C9">
        <w:rPr>
          <w:sz w:val="20"/>
          <w:szCs w:val="20"/>
        </w:rPr>
        <w:t>Les crédits octroyés à la clientèle privée permettent de limiter le recul des encours sur ce marché</w:t>
      </w:r>
      <w:r w:rsidR="00E660C9">
        <w:rPr>
          <w:sz w:val="20"/>
          <w:szCs w:val="20"/>
        </w:rPr>
        <w:t>.</w:t>
      </w:r>
      <w:bookmarkStart w:id="11" w:name="_GoBack"/>
      <w:bookmarkEnd w:id="11"/>
    </w:p>
    <w:p w:rsidR="001B709A" w:rsidRPr="00073F9F" w:rsidRDefault="001B709A" w:rsidP="001B709A">
      <w:pPr>
        <w:pStyle w:val="2-TEXTECOURANTcommuniqu"/>
        <w:rPr>
          <w:color w:val="000000" w:themeColor="text1"/>
        </w:rPr>
      </w:pPr>
    </w:p>
    <w:p w:rsidR="004F44A8" w:rsidRPr="00073F9F" w:rsidRDefault="004F44A8" w:rsidP="004F44A8">
      <w:pPr>
        <w:pStyle w:val="2-TEXTECOURANTcommuniqu"/>
        <w:rPr>
          <w:color w:val="000000" w:themeColor="text1"/>
        </w:rPr>
      </w:pPr>
      <w:r>
        <w:rPr>
          <w:color w:val="000000" w:themeColor="text1"/>
        </w:rPr>
        <w:t xml:space="preserve">La contribution de Banque Palatine au résultat avant impôt </w:t>
      </w:r>
      <w:r>
        <w:t>retraité de l’impact de l’IFRIC 21, s’établit à 21 millions d’euros au 31 mars 2015.</w:t>
      </w:r>
    </w:p>
    <w:p w:rsidR="004F44A8" w:rsidRDefault="004F44A8" w:rsidP="004F44A8">
      <w:pPr>
        <w:pStyle w:val="2-TEXTECOURANTcommuniqu"/>
      </w:pPr>
      <w:r>
        <w:t> </w:t>
      </w:r>
    </w:p>
    <w:p w:rsidR="0069247C" w:rsidRDefault="0069247C" w:rsidP="0069247C">
      <w:pPr>
        <w:pStyle w:val="2-TEXTECOURANTcommuniqu"/>
      </w:pPr>
      <w:r>
        <w:t> </w:t>
      </w:r>
    </w:p>
    <w:p w:rsidR="00A72198" w:rsidRDefault="00A72198">
      <w:pPr>
        <w:jc w:val="left"/>
        <w:rPr>
          <w:spacing w:val="-4"/>
          <w:sz w:val="20"/>
          <w:szCs w:val="20"/>
        </w:rPr>
      </w:pPr>
      <w:r>
        <w:br w:type="page"/>
      </w:r>
    </w:p>
    <w:p w:rsidR="00900747" w:rsidRDefault="00900747" w:rsidP="00900747">
      <w:pPr>
        <w:pStyle w:val="3-Titre2"/>
      </w:pPr>
      <w:r>
        <w:rPr>
          <w:rStyle w:val="orange"/>
        </w:rPr>
        <w:lastRenderedPageBreak/>
        <w:t>3</w:t>
      </w:r>
      <w:r w:rsidRPr="00A72198">
        <w:rPr>
          <w:rStyle w:val="orange"/>
        </w:rPr>
        <w:t>.2</w:t>
      </w:r>
      <w:r w:rsidRPr="00A72198">
        <w:rPr>
          <w:rStyle w:val="orange"/>
        </w:rPr>
        <w:tab/>
      </w:r>
      <w:r>
        <w:t xml:space="preserve">Banque de Grande Clientèle, Épargne et Services Financiers Spécialisés </w:t>
      </w:r>
      <w:r>
        <w:br/>
      </w:r>
      <w:r>
        <w:tab/>
        <w:t>(métiers cœurs de Natixis)</w:t>
      </w:r>
      <w:r>
        <w:rPr>
          <w:rStyle w:val="Appelnotedebasdep"/>
        </w:rPr>
        <w:footnoteReference w:id="21"/>
      </w:r>
      <w:r w:rsidRPr="008F30AB">
        <w:rPr>
          <w:vertAlign w:val="superscript"/>
        </w:rPr>
        <w:t>,</w:t>
      </w:r>
      <w:r>
        <w:rPr>
          <w:rStyle w:val="Appelnotedebasdep"/>
        </w:rPr>
        <w:footnoteReference w:id="22"/>
      </w:r>
    </w:p>
    <w:p w:rsidR="00900747" w:rsidRPr="00164731" w:rsidRDefault="00900747" w:rsidP="00900747">
      <w:pPr>
        <w:pStyle w:val="2-TEXTECOURANTcommuniqu"/>
        <w:rPr>
          <w:color w:val="000000" w:themeColor="text1"/>
        </w:rPr>
      </w:pPr>
      <w:r w:rsidRPr="00164731">
        <w:rPr>
          <w:color w:val="000000" w:themeColor="text1"/>
        </w:rPr>
        <w:t xml:space="preserve">Le </w:t>
      </w:r>
      <w:r w:rsidRPr="00164731">
        <w:rPr>
          <w:rStyle w:val="lev"/>
          <w:color w:val="000000" w:themeColor="text1"/>
        </w:rPr>
        <w:t>produit net bancaire</w:t>
      </w:r>
      <w:r w:rsidRPr="00164731">
        <w:rPr>
          <w:color w:val="000000" w:themeColor="text1"/>
        </w:rPr>
        <w:t xml:space="preserve"> des métiers cœurs de Natixis (Banque de Grande Clientèle, Épargne et Services Financiers Spécialisés) s’établit à 1 953 millions d’euros à fin mars 2015, en hausse de 15,4 % sur un an. </w:t>
      </w:r>
    </w:p>
    <w:p w:rsidR="00900747" w:rsidRPr="002B3D74" w:rsidRDefault="00900747" w:rsidP="00900747">
      <w:pPr>
        <w:pStyle w:val="2-TEXTECOURANTcommuniqu"/>
        <w:rPr>
          <w:color w:val="FF0000"/>
        </w:rPr>
      </w:pPr>
    </w:p>
    <w:p w:rsidR="00900747" w:rsidRPr="00164731" w:rsidRDefault="00900747" w:rsidP="00900747">
      <w:pPr>
        <w:pStyle w:val="2-TEXTECOURANTcommuniqu"/>
        <w:rPr>
          <w:color w:val="000000" w:themeColor="text1"/>
        </w:rPr>
      </w:pPr>
      <w:r w:rsidRPr="00164731">
        <w:rPr>
          <w:color w:val="000000" w:themeColor="text1"/>
        </w:rPr>
        <w:t xml:space="preserve">Les </w:t>
      </w:r>
      <w:r w:rsidRPr="00164731">
        <w:rPr>
          <w:rStyle w:val="lev"/>
          <w:color w:val="000000" w:themeColor="text1"/>
        </w:rPr>
        <w:t>frais de gestion</w:t>
      </w:r>
      <w:r w:rsidRPr="00164731">
        <w:rPr>
          <w:color w:val="000000" w:themeColor="text1"/>
        </w:rPr>
        <w:t xml:space="preserve"> des métiers cœurs de Natixis, à 1 292 millions d’euros, sont en hausse de 11,9 % sur un an.</w:t>
      </w:r>
    </w:p>
    <w:p w:rsidR="00900747" w:rsidRPr="00164731" w:rsidRDefault="00900747" w:rsidP="00900747">
      <w:pPr>
        <w:pStyle w:val="2-TEXTECOURANTcommuniqu"/>
        <w:rPr>
          <w:color w:val="000000" w:themeColor="text1"/>
        </w:rPr>
      </w:pPr>
    </w:p>
    <w:p w:rsidR="00900747" w:rsidRPr="00164731" w:rsidRDefault="00900747" w:rsidP="00900747">
      <w:pPr>
        <w:pStyle w:val="2-TEXTECOURANTcommuniqu"/>
        <w:rPr>
          <w:color w:val="000000" w:themeColor="text1"/>
        </w:rPr>
      </w:pPr>
      <w:r w:rsidRPr="00164731">
        <w:rPr>
          <w:color w:val="000000" w:themeColor="text1"/>
        </w:rPr>
        <w:t xml:space="preserve">Le </w:t>
      </w:r>
      <w:r w:rsidRPr="00164731">
        <w:rPr>
          <w:rStyle w:val="lev"/>
          <w:color w:val="000000" w:themeColor="text1"/>
        </w:rPr>
        <w:t>résultat brut d’exploitation (RBE)</w:t>
      </w:r>
      <w:r w:rsidRPr="00164731">
        <w:rPr>
          <w:color w:val="000000" w:themeColor="text1"/>
        </w:rPr>
        <w:t xml:space="preserve"> des métiers cœurs de Natixis s’élève à 661 millions </w:t>
      </w:r>
      <w:r w:rsidR="007C7DB2">
        <w:rPr>
          <w:color w:val="000000" w:themeColor="text1"/>
        </w:rPr>
        <w:t xml:space="preserve">d’euros </w:t>
      </w:r>
      <w:r w:rsidRPr="00164731">
        <w:rPr>
          <w:color w:val="000000" w:themeColor="text1"/>
        </w:rPr>
        <w:t>au 31 mars 2015, soit une augmentation de 22,7 %.</w:t>
      </w:r>
    </w:p>
    <w:p w:rsidR="00900747" w:rsidRPr="002B3D74" w:rsidRDefault="00900747" w:rsidP="00900747">
      <w:pPr>
        <w:pStyle w:val="2-TEXTECOURANTcommuniqu"/>
        <w:rPr>
          <w:color w:val="FF0000"/>
        </w:rPr>
      </w:pPr>
    </w:p>
    <w:p w:rsidR="00900747" w:rsidRPr="00164731" w:rsidRDefault="00900747" w:rsidP="00900747">
      <w:pPr>
        <w:pStyle w:val="2-TEXTECOURANTcommuniqu"/>
        <w:rPr>
          <w:color w:val="000000" w:themeColor="text1"/>
        </w:rPr>
      </w:pPr>
      <w:r w:rsidRPr="00164731">
        <w:rPr>
          <w:color w:val="000000" w:themeColor="text1"/>
        </w:rPr>
        <w:t xml:space="preserve">Le </w:t>
      </w:r>
      <w:r w:rsidRPr="00164731">
        <w:rPr>
          <w:rStyle w:val="lev"/>
          <w:color w:val="000000" w:themeColor="text1"/>
        </w:rPr>
        <w:t>coût du risque</w:t>
      </w:r>
      <w:r w:rsidRPr="00164731">
        <w:rPr>
          <w:color w:val="000000" w:themeColor="text1"/>
        </w:rPr>
        <w:t xml:space="preserve"> des métiers cœurs de Natixis </w:t>
      </w:r>
      <w:r w:rsidR="00E150C3">
        <w:rPr>
          <w:color w:val="000000" w:themeColor="text1"/>
        </w:rPr>
        <w:t xml:space="preserve">augmente de </w:t>
      </w:r>
      <w:r w:rsidRPr="00164731">
        <w:rPr>
          <w:color w:val="000000" w:themeColor="text1"/>
        </w:rPr>
        <w:t>15,3 %. Il s’élève à 80 millions d’euros au 31 mars 2015.</w:t>
      </w:r>
    </w:p>
    <w:p w:rsidR="00900747" w:rsidRPr="002B3D74" w:rsidRDefault="00900747" w:rsidP="00900747">
      <w:pPr>
        <w:pStyle w:val="2-TEXTECOURANTcommuniqu"/>
        <w:rPr>
          <w:color w:val="FF0000"/>
        </w:rPr>
      </w:pPr>
    </w:p>
    <w:p w:rsidR="001933C4" w:rsidRDefault="00900747" w:rsidP="00900747">
      <w:pPr>
        <w:pStyle w:val="2-TEXTECOURANTcommuniqu"/>
        <w:rPr>
          <w:color w:val="000000" w:themeColor="text1"/>
        </w:rPr>
      </w:pPr>
      <w:r w:rsidRPr="00164731">
        <w:rPr>
          <w:color w:val="000000" w:themeColor="text1"/>
        </w:rPr>
        <w:t xml:space="preserve">Le </w:t>
      </w:r>
      <w:r w:rsidRPr="00164731">
        <w:rPr>
          <w:rStyle w:val="lev"/>
          <w:color w:val="000000" w:themeColor="text1"/>
        </w:rPr>
        <w:t>résultat avant impôt</w:t>
      </w:r>
      <w:r w:rsidRPr="00164731">
        <w:rPr>
          <w:color w:val="000000" w:themeColor="text1"/>
        </w:rPr>
        <w:t xml:space="preserve"> des métiers cœurs de Natixis s’établit, au 31 mars 2015, à 590 millions d’euros, soit une hausse de 23,0 % sur un an. </w:t>
      </w:r>
    </w:p>
    <w:p w:rsidR="001933C4" w:rsidRDefault="001933C4" w:rsidP="00900747">
      <w:pPr>
        <w:pStyle w:val="2-TEXTECOURANTcommuniqu"/>
        <w:rPr>
          <w:color w:val="000000" w:themeColor="text1"/>
        </w:rPr>
      </w:pPr>
    </w:p>
    <w:p w:rsidR="00900747" w:rsidRDefault="001933C4" w:rsidP="00900747">
      <w:pPr>
        <w:pStyle w:val="2-TEXTECOURANTcommuniqu"/>
        <w:rPr>
          <w:color w:val="000000" w:themeColor="text1"/>
        </w:rPr>
      </w:pPr>
      <w:r w:rsidRPr="00402AE8">
        <w:rPr>
          <w:color w:val="000000" w:themeColor="text1"/>
        </w:rPr>
        <w:t>Retraité de l’impact de l’IFRIC 21,</w:t>
      </w:r>
      <w:r>
        <w:rPr>
          <w:b/>
          <w:color w:val="000000" w:themeColor="text1"/>
        </w:rPr>
        <w:t xml:space="preserve"> l</w:t>
      </w:r>
      <w:r w:rsidRPr="003C4770">
        <w:rPr>
          <w:b/>
          <w:color w:val="000000" w:themeColor="text1"/>
        </w:rPr>
        <w:t xml:space="preserve">e résultat avant impôt </w:t>
      </w:r>
      <w:r w:rsidRPr="00164731">
        <w:rPr>
          <w:color w:val="000000" w:themeColor="text1"/>
        </w:rPr>
        <w:t>s’établit à 642 millions d’euros, en progression de 20,3 % par rapport au premier trimestre 2014.</w:t>
      </w:r>
    </w:p>
    <w:p w:rsidR="003C4770" w:rsidRPr="002B3D74" w:rsidRDefault="003C4770" w:rsidP="00900747">
      <w:pPr>
        <w:pStyle w:val="2-TEXTECOURANTcommuniqu"/>
        <w:rPr>
          <w:color w:val="FF0000"/>
        </w:rPr>
      </w:pPr>
    </w:p>
    <w:p w:rsidR="00900747" w:rsidRPr="00516DCE" w:rsidRDefault="00900747" w:rsidP="00900747">
      <w:pPr>
        <w:pStyle w:val="6-LISTEPUCE"/>
        <w:numPr>
          <w:ilvl w:val="0"/>
          <w:numId w:val="18"/>
        </w:numPr>
        <w:rPr>
          <w:color w:val="000000" w:themeColor="text1"/>
        </w:rPr>
      </w:pPr>
      <w:r w:rsidRPr="00516DCE">
        <w:rPr>
          <w:color w:val="000000" w:themeColor="text1"/>
        </w:rPr>
        <w:t xml:space="preserve">Dans </w:t>
      </w:r>
      <w:r w:rsidRPr="00516DCE">
        <w:rPr>
          <w:b/>
          <w:bCs/>
        </w:rPr>
        <w:t>la Banque de Grande Clientèle</w:t>
      </w:r>
      <w:r w:rsidRPr="00516DCE">
        <w:rPr>
          <w:color w:val="000000" w:themeColor="text1"/>
        </w:rPr>
        <w:t xml:space="preserve">, le </w:t>
      </w:r>
      <w:r w:rsidRPr="00516DCE">
        <w:rPr>
          <w:b/>
          <w:bCs/>
        </w:rPr>
        <w:t>résultat avant impôt</w:t>
      </w:r>
      <w:bookmarkStart w:id="12" w:name="_Ref418514515"/>
      <w:r w:rsidR="00585A01" w:rsidRPr="00DA68D8">
        <w:rPr>
          <w:rStyle w:val="Appelnotedebasdep"/>
          <w:bCs/>
        </w:rPr>
        <w:footnoteReference w:id="23"/>
      </w:r>
      <w:bookmarkEnd w:id="12"/>
      <w:r w:rsidRPr="00113DFD">
        <w:rPr>
          <w:b/>
          <w:color w:val="000000" w:themeColor="text1"/>
        </w:rPr>
        <w:t xml:space="preserve"> </w:t>
      </w:r>
      <w:r w:rsidRPr="00516DCE">
        <w:rPr>
          <w:color w:val="000000" w:themeColor="text1"/>
        </w:rPr>
        <w:t xml:space="preserve">progresse de </w:t>
      </w:r>
      <w:r w:rsidR="00585A01">
        <w:rPr>
          <w:color w:val="000000" w:themeColor="text1"/>
        </w:rPr>
        <w:t>7,9</w:t>
      </w:r>
      <w:r w:rsidRPr="00516DCE">
        <w:rPr>
          <w:color w:val="000000" w:themeColor="text1"/>
        </w:rPr>
        <w:t xml:space="preserve"> % sur un an. </w:t>
      </w:r>
      <w:r w:rsidR="003C2DEB">
        <w:rPr>
          <w:color w:val="000000" w:themeColor="text1"/>
        </w:rPr>
        <w:t>Le produit net b</w:t>
      </w:r>
      <w:r w:rsidRPr="00516DCE">
        <w:rPr>
          <w:color w:val="000000" w:themeColor="text1"/>
        </w:rPr>
        <w:t>ancaire</w:t>
      </w:r>
      <w:r w:rsidR="003C2DEB">
        <w:rPr>
          <w:color w:val="000000" w:themeColor="text1"/>
        </w:rPr>
        <w:t xml:space="preserve"> augmente de 10</w:t>
      </w:r>
      <w:r w:rsidR="00585A01">
        <w:rPr>
          <w:color w:val="000000" w:themeColor="text1"/>
        </w:rPr>
        <w:t>,1</w:t>
      </w:r>
      <w:r w:rsidR="003C2DEB">
        <w:rPr>
          <w:color w:val="000000" w:themeColor="text1"/>
        </w:rPr>
        <w:t> %</w:t>
      </w:r>
      <w:r w:rsidR="00FE18BA">
        <w:rPr>
          <w:color w:val="000000" w:themeColor="text1"/>
        </w:rPr>
        <w:t xml:space="preserve"> (+ 16 % hors opérations non récurrentes dans les financements structurés au premier trimestre 2014)</w:t>
      </w:r>
      <w:r w:rsidR="003C2DEB">
        <w:rPr>
          <w:color w:val="000000" w:themeColor="text1"/>
        </w:rPr>
        <w:t xml:space="preserve">. Cette croissance </w:t>
      </w:r>
      <w:r w:rsidRPr="00516DCE">
        <w:rPr>
          <w:color w:val="000000" w:themeColor="text1"/>
        </w:rPr>
        <w:t xml:space="preserve">est </w:t>
      </w:r>
      <w:r w:rsidR="003C2DEB">
        <w:rPr>
          <w:color w:val="000000" w:themeColor="text1"/>
        </w:rPr>
        <w:t xml:space="preserve">principalement portée </w:t>
      </w:r>
      <w:r w:rsidRPr="00516DCE">
        <w:rPr>
          <w:color w:val="000000" w:themeColor="text1"/>
        </w:rPr>
        <w:t xml:space="preserve">par </w:t>
      </w:r>
      <w:r>
        <w:rPr>
          <w:color w:val="000000" w:themeColor="text1"/>
        </w:rPr>
        <w:t xml:space="preserve">la forte dynamique des </w:t>
      </w:r>
      <w:r w:rsidRPr="00516DCE">
        <w:rPr>
          <w:color w:val="000000" w:themeColor="text1"/>
        </w:rPr>
        <w:t>activité</w:t>
      </w:r>
      <w:r>
        <w:rPr>
          <w:color w:val="000000" w:themeColor="text1"/>
        </w:rPr>
        <w:t>s de</w:t>
      </w:r>
      <w:r w:rsidR="003C2DEB">
        <w:rPr>
          <w:color w:val="000000" w:themeColor="text1"/>
        </w:rPr>
        <w:t xml:space="preserve"> marchés de capitaux et </w:t>
      </w:r>
      <w:r w:rsidRPr="00516DCE">
        <w:rPr>
          <w:color w:val="000000" w:themeColor="text1"/>
        </w:rPr>
        <w:t>par la contribution de la plate-forme Amériques</w:t>
      </w:r>
      <w:r w:rsidR="003C2DEB">
        <w:rPr>
          <w:color w:val="000000" w:themeColor="text1"/>
        </w:rPr>
        <w:t xml:space="preserve"> (en augmentation de </w:t>
      </w:r>
      <w:r w:rsidR="00405D7A">
        <w:rPr>
          <w:color w:val="000000" w:themeColor="text1"/>
        </w:rPr>
        <w:t>16</w:t>
      </w:r>
      <w:r w:rsidR="003C2DEB">
        <w:rPr>
          <w:color w:val="000000" w:themeColor="text1"/>
        </w:rPr>
        <w:t> %</w:t>
      </w:r>
      <w:r w:rsidR="00405D7A">
        <w:rPr>
          <w:color w:val="000000" w:themeColor="text1"/>
        </w:rPr>
        <w:t xml:space="preserve"> par rapport au premier trimestre 2014</w:t>
      </w:r>
      <w:r w:rsidR="003C2DEB">
        <w:rPr>
          <w:color w:val="000000" w:themeColor="text1"/>
        </w:rPr>
        <w:t>)</w:t>
      </w:r>
      <w:r w:rsidRPr="00516DCE">
        <w:rPr>
          <w:color w:val="000000" w:themeColor="text1"/>
        </w:rPr>
        <w:t xml:space="preserve">. </w:t>
      </w:r>
      <w:r>
        <w:rPr>
          <w:color w:val="000000" w:themeColor="text1"/>
        </w:rPr>
        <w:t>Le coû</w:t>
      </w:r>
      <w:r w:rsidRPr="00516DCE">
        <w:rPr>
          <w:color w:val="000000" w:themeColor="text1"/>
        </w:rPr>
        <w:t>t du risque, en hausse de 25</w:t>
      </w:r>
      <w:r w:rsidR="00324FFE">
        <w:rPr>
          <w:color w:val="000000" w:themeColor="text1"/>
        </w:rPr>
        <w:t> </w:t>
      </w:r>
      <w:r w:rsidRPr="00516DCE">
        <w:rPr>
          <w:color w:val="000000" w:themeColor="text1"/>
        </w:rPr>
        <w:t xml:space="preserve">%, </w:t>
      </w:r>
      <w:r>
        <w:rPr>
          <w:color w:val="000000" w:themeColor="text1"/>
        </w:rPr>
        <w:t>intègre</w:t>
      </w:r>
      <w:r w:rsidRPr="00516DCE">
        <w:rPr>
          <w:color w:val="000000" w:themeColor="text1"/>
        </w:rPr>
        <w:t xml:space="preserve"> </w:t>
      </w:r>
      <w:r w:rsidR="00095714">
        <w:rPr>
          <w:color w:val="000000" w:themeColor="text1"/>
        </w:rPr>
        <w:t>des provisions sur le secteur de l’énergie et des matières premières</w:t>
      </w:r>
      <w:r w:rsidRPr="00516DCE">
        <w:rPr>
          <w:color w:val="000000" w:themeColor="text1"/>
        </w:rPr>
        <w:t xml:space="preserve">. La Banque de Grande Clientèle contribue à hauteur de 45 % au </w:t>
      </w:r>
      <w:r w:rsidRPr="00DF6D12">
        <w:rPr>
          <w:b/>
          <w:color w:val="000000" w:themeColor="text1"/>
        </w:rPr>
        <w:t>résultat avant impôt</w:t>
      </w:r>
      <w:r w:rsidR="00585A01">
        <w:rPr>
          <w:b/>
          <w:color w:val="000000" w:themeColor="text1"/>
        </w:rPr>
        <w:fldChar w:fldCharType="begin"/>
      </w:r>
      <w:r w:rsidR="00585A01">
        <w:rPr>
          <w:b/>
          <w:color w:val="000000" w:themeColor="text1"/>
        </w:rPr>
        <w:instrText xml:space="preserve"> NOTEREF _Ref418514515 \f \h </w:instrText>
      </w:r>
      <w:r w:rsidR="00585A01">
        <w:rPr>
          <w:b/>
          <w:color w:val="000000" w:themeColor="text1"/>
        </w:rPr>
      </w:r>
      <w:r w:rsidR="00585A01">
        <w:rPr>
          <w:b/>
          <w:color w:val="000000" w:themeColor="text1"/>
        </w:rPr>
        <w:fldChar w:fldCharType="separate"/>
      </w:r>
      <w:r w:rsidR="000E7E26" w:rsidRPr="000E7E26">
        <w:rPr>
          <w:rStyle w:val="Appelnotedebasdep"/>
        </w:rPr>
        <w:t>23</w:t>
      </w:r>
      <w:r w:rsidR="00585A01">
        <w:rPr>
          <w:b/>
          <w:color w:val="000000" w:themeColor="text1"/>
        </w:rPr>
        <w:fldChar w:fldCharType="end"/>
      </w:r>
      <w:r w:rsidRPr="00516DCE">
        <w:rPr>
          <w:color w:val="000000" w:themeColor="text1"/>
        </w:rPr>
        <w:t xml:space="preserve"> des métiers cœurs. </w:t>
      </w:r>
    </w:p>
    <w:p w:rsidR="00900747" w:rsidRPr="00516DCE" w:rsidRDefault="00900747" w:rsidP="00900747">
      <w:pPr>
        <w:pStyle w:val="6-LISTEPUCE"/>
        <w:numPr>
          <w:ilvl w:val="0"/>
          <w:numId w:val="0"/>
        </w:numPr>
        <w:ind w:left="720"/>
        <w:rPr>
          <w:color w:val="000000" w:themeColor="text1"/>
        </w:rPr>
      </w:pPr>
    </w:p>
    <w:p w:rsidR="00900747" w:rsidRPr="00516DCE" w:rsidRDefault="00900747" w:rsidP="00900747">
      <w:pPr>
        <w:pStyle w:val="6-LISTEPUCE"/>
        <w:rPr>
          <w:color w:val="000000" w:themeColor="text1"/>
        </w:rPr>
      </w:pPr>
      <w:r w:rsidRPr="00516DCE">
        <w:rPr>
          <w:color w:val="000000" w:themeColor="text1"/>
        </w:rPr>
        <w:t xml:space="preserve">Le </w:t>
      </w:r>
      <w:r w:rsidRPr="00516DCE">
        <w:rPr>
          <w:rStyle w:val="lev"/>
          <w:color w:val="000000" w:themeColor="text1"/>
        </w:rPr>
        <w:t>Pôle Épargne</w:t>
      </w:r>
      <w:r w:rsidRPr="00516DCE">
        <w:rPr>
          <w:color w:val="000000" w:themeColor="text1"/>
        </w:rPr>
        <w:t xml:space="preserve"> affiche de bonnes performances avec un </w:t>
      </w:r>
      <w:r w:rsidRPr="00516DCE">
        <w:rPr>
          <w:rStyle w:val="lev"/>
          <w:color w:val="000000" w:themeColor="text1"/>
        </w:rPr>
        <w:t>résultat avant impôt</w:t>
      </w:r>
      <w:r w:rsidR="00585A01">
        <w:rPr>
          <w:rStyle w:val="lev"/>
          <w:color w:val="000000" w:themeColor="text1"/>
        </w:rPr>
        <w:fldChar w:fldCharType="begin"/>
      </w:r>
      <w:r w:rsidR="00585A01">
        <w:rPr>
          <w:rStyle w:val="lev"/>
          <w:color w:val="000000" w:themeColor="text1"/>
        </w:rPr>
        <w:instrText xml:space="preserve"> NOTEREF _Ref418514515 \f \h </w:instrText>
      </w:r>
      <w:r w:rsidR="00585A01">
        <w:rPr>
          <w:rStyle w:val="lev"/>
          <w:color w:val="000000" w:themeColor="text1"/>
        </w:rPr>
      </w:r>
      <w:r w:rsidR="00585A01">
        <w:rPr>
          <w:rStyle w:val="lev"/>
          <w:color w:val="000000" w:themeColor="text1"/>
        </w:rPr>
        <w:fldChar w:fldCharType="separate"/>
      </w:r>
      <w:r w:rsidR="000E7E26" w:rsidRPr="000E7E26">
        <w:rPr>
          <w:rStyle w:val="Appelnotedebasdep"/>
        </w:rPr>
        <w:t>23</w:t>
      </w:r>
      <w:r w:rsidR="00585A01">
        <w:rPr>
          <w:rStyle w:val="lev"/>
          <w:color w:val="000000" w:themeColor="text1"/>
        </w:rPr>
        <w:fldChar w:fldCharType="end"/>
      </w:r>
      <w:r w:rsidRPr="00113DFD">
        <w:rPr>
          <w:b/>
          <w:color w:val="000000" w:themeColor="text1"/>
        </w:rPr>
        <w:t xml:space="preserve"> </w:t>
      </w:r>
      <w:r w:rsidRPr="00516DCE">
        <w:rPr>
          <w:color w:val="000000" w:themeColor="text1"/>
        </w:rPr>
        <w:t>au 31 mars 2015 en hausse de 41,</w:t>
      </w:r>
      <w:r w:rsidR="00585A01">
        <w:rPr>
          <w:color w:val="000000" w:themeColor="text1"/>
        </w:rPr>
        <w:t>1</w:t>
      </w:r>
      <w:r w:rsidRPr="00516DCE">
        <w:rPr>
          <w:color w:val="000000" w:themeColor="text1"/>
        </w:rPr>
        <w:t xml:space="preserve"> % sur un an, grâce à une hausse significative des revenus (+ 27 % à change courant et + 14 % à change constant). La gestion d’actifs connaît une nouvelle collecte nette record</w:t>
      </w:r>
      <w:r>
        <w:rPr>
          <w:color w:val="000000" w:themeColor="text1"/>
        </w:rPr>
        <w:t>,</w:t>
      </w:r>
      <w:r w:rsidRPr="00516DCE">
        <w:rPr>
          <w:color w:val="000000" w:themeColor="text1"/>
        </w:rPr>
        <w:t xml:space="preserve"> sur le premier trimestre</w:t>
      </w:r>
      <w:r>
        <w:rPr>
          <w:color w:val="000000" w:themeColor="text1"/>
        </w:rPr>
        <w:t>,</w:t>
      </w:r>
      <w:r w:rsidRPr="00516DCE">
        <w:rPr>
          <w:color w:val="000000" w:themeColor="text1"/>
        </w:rPr>
        <w:t xml:space="preserve"> de 19 milliards d’euros (17 milliards</w:t>
      </w:r>
      <w:r w:rsidR="00585A01">
        <w:rPr>
          <w:color w:val="000000" w:themeColor="text1"/>
        </w:rPr>
        <w:t xml:space="preserve"> d’euros</w:t>
      </w:r>
      <w:r w:rsidRPr="00516DCE">
        <w:rPr>
          <w:color w:val="000000" w:themeColor="text1"/>
        </w:rPr>
        <w:t xml:space="preserve"> hors produits monétaires). Le Pôle Épargne contribue à hauteur de 40 % au </w:t>
      </w:r>
      <w:r w:rsidRPr="00DF6D12">
        <w:rPr>
          <w:b/>
          <w:color w:val="000000" w:themeColor="text1"/>
        </w:rPr>
        <w:t>résultat avant impôt</w:t>
      </w:r>
      <w:r w:rsidR="00585A01">
        <w:rPr>
          <w:b/>
          <w:color w:val="000000" w:themeColor="text1"/>
        </w:rPr>
        <w:fldChar w:fldCharType="begin"/>
      </w:r>
      <w:r w:rsidR="00585A01">
        <w:rPr>
          <w:b/>
          <w:color w:val="000000" w:themeColor="text1"/>
        </w:rPr>
        <w:instrText xml:space="preserve"> NOTEREF _Ref418514515 \f \h </w:instrText>
      </w:r>
      <w:r w:rsidR="00585A01">
        <w:rPr>
          <w:b/>
          <w:color w:val="000000" w:themeColor="text1"/>
        </w:rPr>
      </w:r>
      <w:r w:rsidR="00585A01">
        <w:rPr>
          <w:b/>
          <w:color w:val="000000" w:themeColor="text1"/>
        </w:rPr>
        <w:fldChar w:fldCharType="separate"/>
      </w:r>
      <w:r w:rsidR="000E7E26" w:rsidRPr="000E7E26">
        <w:rPr>
          <w:rStyle w:val="Appelnotedebasdep"/>
        </w:rPr>
        <w:t>23</w:t>
      </w:r>
      <w:r w:rsidR="00585A01">
        <w:rPr>
          <w:b/>
          <w:color w:val="000000" w:themeColor="text1"/>
        </w:rPr>
        <w:fldChar w:fldCharType="end"/>
      </w:r>
      <w:r w:rsidRPr="00516DCE">
        <w:rPr>
          <w:color w:val="000000" w:themeColor="text1"/>
        </w:rPr>
        <w:t xml:space="preserve"> des métiers cœurs.</w:t>
      </w:r>
    </w:p>
    <w:p w:rsidR="00900747" w:rsidRPr="00516DCE" w:rsidRDefault="00900747" w:rsidP="00900747">
      <w:pPr>
        <w:pStyle w:val="6-LISTEPUCE"/>
        <w:numPr>
          <w:ilvl w:val="0"/>
          <w:numId w:val="0"/>
        </w:numPr>
        <w:ind w:left="720"/>
        <w:rPr>
          <w:color w:val="000000" w:themeColor="text1"/>
        </w:rPr>
      </w:pPr>
    </w:p>
    <w:p w:rsidR="00900747" w:rsidRPr="00516DCE" w:rsidRDefault="00900747" w:rsidP="00900747">
      <w:pPr>
        <w:pStyle w:val="6-LISTEPUCE"/>
        <w:rPr>
          <w:color w:val="000000" w:themeColor="text1"/>
        </w:rPr>
      </w:pPr>
      <w:r w:rsidRPr="00516DCE">
        <w:rPr>
          <w:color w:val="000000" w:themeColor="text1"/>
        </w:rPr>
        <w:t xml:space="preserve">Le </w:t>
      </w:r>
      <w:r w:rsidRPr="00516DCE">
        <w:rPr>
          <w:rStyle w:val="lev"/>
          <w:color w:val="000000" w:themeColor="text1"/>
        </w:rPr>
        <w:t>résultat avant impôt</w:t>
      </w:r>
      <w:r w:rsidR="00585A01">
        <w:rPr>
          <w:rStyle w:val="lev"/>
          <w:color w:val="000000" w:themeColor="text1"/>
        </w:rPr>
        <w:fldChar w:fldCharType="begin"/>
      </w:r>
      <w:r w:rsidR="00585A01">
        <w:rPr>
          <w:rStyle w:val="lev"/>
          <w:color w:val="000000" w:themeColor="text1"/>
        </w:rPr>
        <w:instrText xml:space="preserve"> NOTEREF _Ref418514515 \f \h </w:instrText>
      </w:r>
      <w:r w:rsidR="00585A01">
        <w:rPr>
          <w:rStyle w:val="lev"/>
          <w:color w:val="000000" w:themeColor="text1"/>
        </w:rPr>
      </w:r>
      <w:r w:rsidR="00585A01">
        <w:rPr>
          <w:rStyle w:val="lev"/>
          <w:color w:val="000000" w:themeColor="text1"/>
        </w:rPr>
        <w:fldChar w:fldCharType="separate"/>
      </w:r>
      <w:r w:rsidR="000E7E26" w:rsidRPr="000E7E26">
        <w:rPr>
          <w:rStyle w:val="Appelnotedebasdep"/>
        </w:rPr>
        <w:t>23</w:t>
      </w:r>
      <w:r w:rsidR="00585A01">
        <w:rPr>
          <w:rStyle w:val="lev"/>
          <w:color w:val="000000" w:themeColor="text1"/>
        </w:rPr>
        <w:fldChar w:fldCharType="end"/>
      </w:r>
      <w:r w:rsidRPr="00516DCE">
        <w:rPr>
          <w:color w:val="000000" w:themeColor="text1"/>
        </w:rPr>
        <w:t xml:space="preserve"> du </w:t>
      </w:r>
      <w:r w:rsidRPr="00516DCE">
        <w:rPr>
          <w:rStyle w:val="lev"/>
          <w:color w:val="000000" w:themeColor="text1"/>
        </w:rPr>
        <w:t>Pôle Services Financiers Spécialisés (SFS)</w:t>
      </w:r>
      <w:r w:rsidR="001933C4">
        <w:rPr>
          <w:rStyle w:val="lev"/>
          <w:color w:val="000000" w:themeColor="text1"/>
        </w:rPr>
        <w:t xml:space="preserve"> </w:t>
      </w:r>
      <w:r w:rsidRPr="00516DCE">
        <w:rPr>
          <w:color w:val="000000" w:themeColor="text1"/>
        </w:rPr>
        <w:t>enregistre</w:t>
      </w:r>
      <w:r>
        <w:rPr>
          <w:color w:val="000000" w:themeColor="text1"/>
        </w:rPr>
        <w:t>,</w:t>
      </w:r>
      <w:r w:rsidRPr="00516DCE">
        <w:rPr>
          <w:color w:val="000000" w:themeColor="text1"/>
        </w:rPr>
        <w:t xml:space="preserve"> sur le premier trimestre 2015</w:t>
      </w:r>
      <w:r>
        <w:rPr>
          <w:color w:val="000000" w:themeColor="text1"/>
        </w:rPr>
        <w:t>,</w:t>
      </w:r>
      <w:r w:rsidRPr="00516DCE">
        <w:rPr>
          <w:color w:val="000000" w:themeColor="text1"/>
        </w:rPr>
        <w:t xml:space="preserve"> une progression significative de 1</w:t>
      </w:r>
      <w:r w:rsidR="00585A01">
        <w:rPr>
          <w:color w:val="000000" w:themeColor="text1"/>
        </w:rPr>
        <w:t>4</w:t>
      </w:r>
      <w:r w:rsidRPr="00516DCE">
        <w:rPr>
          <w:color w:val="000000" w:themeColor="text1"/>
        </w:rPr>
        <w:t>,</w:t>
      </w:r>
      <w:r w:rsidR="00585A01">
        <w:rPr>
          <w:color w:val="000000" w:themeColor="text1"/>
        </w:rPr>
        <w:t>6</w:t>
      </w:r>
      <w:r>
        <w:rPr>
          <w:color w:val="000000" w:themeColor="text1"/>
        </w:rPr>
        <w:t> </w:t>
      </w:r>
      <w:r w:rsidRPr="00516DCE">
        <w:rPr>
          <w:color w:val="000000" w:themeColor="text1"/>
        </w:rPr>
        <w:t>%</w:t>
      </w:r>
      <w:r>
        <w:rPr>
          <w:color w:val="000000" w:themeColor="text1"/>
        </w:rPr>
        <w:t xml:space="preserve">. </w:t>
      </w:r>
      <w:r w:rsidR="007131EA">
        <w:rPr>
          <w:color w:val="000000" w:themeColor="text1"/>
        </w:rPr>
        <w:t>Le</w:t>
      </w:r>
      <w:r w:rsidRPr="00516DCE">
        <w:rPr>
          <w:color w:val="000000" w:themeColor="text1"/>
        </w:rPr>
        <w:t xml:space="preserve">s revenus </w:t>
      </w:r>
      <w:r w:rsidR="007131EA">
        <w:rPr>
          <w:color w:val="000000" w:themeColor="text1"/>
        </w:rPr>
        <w:t>augmentent de 3,5 %, portés par l</w:t>
      </w:r>
      <w:r>
        <w:rPr>
          <w:color w:val="000000" w:themeColor="text1"/>
        </w:rPr>
        <w:t>es</w:t>
      </w:r>
      <w:r w:rsidRPr="00516DCE">
        <w:rPr>
          <w:color w:val="000000" w:themeColor="text1"/>
        </w:rPr>
        <w:t xml:space="preserve"> activités de crédit-bail, de crédit à la consommation et </w:t>
      </w:r>
      <w:r w:rsidR="007131EA">
        <w:rPr>
          <w:color w:val="000000" w:themeColor="text1"/>
        </w:rPr>
        <w:t>d’</w:t>
      </w:r>
      <w:r w:rsidRPr="00516DCE">
        <w:rPr>
          <w:color w:val="000000" w:themeColor="text1"/>
        </w:rPr>
        <w:t xml:space="preserve">ingénierie sociale. </w:t>
      </w:r>
      <w:r>
        <w:rPr>
          <w:color w:val="000000" w:themeColor="text1"/>
        </w:rPr>
        <w:t xml:space="preserve">On note une forte </w:t>
      </w:r>
      <w:r w:rsidRPr="00516DCE">
        <w:rPr>
          <w:color w:val="000000" w:themeColor="text1"/>
        </w:rPr>
        <w:t>cont</w:t>
      </w:r>
      <w:r w:rsidR="001933C4">
        <w:rPr>
          <w:color w:val="000000" w:themeColor="text1"/>
        </w:rPr>
        <w:t xml:space="preserve">raction du coût du risque, de </w:t>
      </w:r>
      <w:r w:rsidRPr="00516DCE">
        <w:rPr>
          <w:color w:val="000000" w:themeColor="text1"/>
        </w:rPr>
        <w:t>26 %. Le Pôle Services Financiers Spécia</w:t>
      </w:r>
      <w:r w:rsidR="007C6401">
        <w:rPr>
          <w:color w:val="000000" w:themeColor="text1"/>
        </w:rPr>
        <w:t xml:space="preserve">lisés contribue à hauteur de 15 % </w:t>
      </w:r>
      <w:r w:rsidRPr="00516DCE">
        <w:rPr>
          <w:color w:val="000000" w:themeColor="text1"/>
        </w:rPr>
        <w:t xml:space="preserve">au </w:t>
      </w:r>
      <w:r w:rsidRPr="00DF6D12">
        <w:rPr>
          <w:b/>
          <w:color w:val="000000" w:themeColor="text1"/>
        </w:rPr>
        <w:t>résultat avant impôt</w:t>
      </w:r>
      <w:r w:rsidR="00585A01">
        <w:rPr>
          <w:b/>
          <w:color w:val="000000" w:themeColor="text1"/>
        </w:rPr>
        <w:fldChar w:fldCharType="begin"/>
      </w:r>
      <w:r w:rsidR="00585A01">
        <w:rPr>
          <w:b/>
          <w:color w:val="000000" w:themeColor="text1"/>
        </w:rPr>
        <w:instrText xml:space="preserve"> NOTEREF _Ref418514515 \f \h </w:instrText>
      </w:r>
      <w:r w:rsidR="00585A01">
        <w:rPr>
          <w:b/>
          <w:color w:val="000000" w:themeColor="text1"/>
        </w:rPr>
      </w:r>
      <w:r w:rsidR="00585A01">
        <w:rPr>
          <w:b/>
          <w:color w:val="000000" w:themeColor="text1"/>
        </w:rPr>
        <w:fldChar w:fldCharType="separate"/>
      </w:r>
      <w:r w:rsidR="000E7E26" w:rsidRPr="000E7E26">
        <w:rPr>
          <w:rStyle w:val="Appelnotedebasdep"/>
        </w:rPr>
        <w:t>23</w:t>
      </w:r>
      <w:r w:rsidR="00585A01">
        <w:rPr>
          <w:b/>
          <w:color w:val="000000" w:themeColor="text1"/>
        </w:rPr>
        <w:fldChar w:fldCharType="end"/>
      </w:r>
      <w:r w:rsidRPr="00516DCE">
        <w:rPr>
          <w:color w:val="000000" w:themeColor="text1"/>
        </w:rPr>
        <w:t xml:space="preserve"> des métiers cœurs.</w:t>
      </w:r>
    </w:p>
    <w:p w:rsidR="00900747" w:rsidRDefault="00900747" w:rsidP="00900747">
      <w:pPr>
        <w:pStyle w:val="2-TEXTECOURANTcommuniqu"/>
        <w:rPr>
          <w:color w:val="FF0000"/>
        </w:rPr>
      </w:pPr>
    </w:p>
    <w:p w:rsidR="00900747" w:rsidRPr="00164731" w:rsidRDefault="003C4770" w:rsidP="00900747">
      <w:pPr>
        <w:pStyle w:val="2-TEXTECOURANTcommuniqu"/>
        <w:rPr>
          <w:color w:val="000000" w:themeColor="text1"/>
        </w:rPr>
      </w:pPr>
      <w:r w:rsidRPr="00164731">
        <w:rPr>
          <w:color w:val="000000" w:themeColor="text1"/>
        </w:rPr>
        <w:t xml:space="preserve">Le </w:t>
      </w:r>
      <w:r w:rsidRPr="00164731">
        <w:rPr>
          <w:rStyle w:val="lev"/>
          <w:color w:val="000000" w:themeColor="text1"/>
        </w:rPr>
        <w:t>coefficient d’exploitation</w:t>
      </w:r>
      <w:bookmarkStart w:id="13" w:name="_Ref418192859"/>
      <w:r w:rsidR="00585A01">
        <w:rPr>
          <w:rStyle w:val="lev"/>
          <w:color w:val="000000" w:themeColor="text1"/>
        </w:rPr>
        <w:fldChar w:fldCharType="begin"/>
      </w:r>
      <w:r w:rsidR="00585A01">
        <w:rPr>
          <w:rStyle w:val="lev"/>
          <w:color w:val="000000" w:themeColor="text1"/>
        </w:rPr>
        <w:instrText xml:space="preserve"> NOTEREF _Ref418514515 \f \h </w:instrText>
      </w:r>
      <w:r w:rsidR="00585A01">
        <w:rPr>
          <w:rStyle w:val="lev"/>
          <w:color w:val="000000" w:themeColor="text1"/>
        </w:rPr>
      </w:r>
      <w:r w:rsidR="00585A01">
        <w:rPr>
          <w:rStyle w:val="lev"/>
          <w:color w:val="000000" w:themeColor="text1"/>
        </w:rPr>
        <w:fldChar w:fldCharType="separate"/>
      </w:r>
      <w:r w:rsidR="000E7E26" w:rsidRPr="000E7E26">
        <w:rPr>
          <w:rStyle w:val="Appelnotedebasdep"/>
        </w:rPr>
        <w:t>23</w:t>
      </w:r>
      <w:r w:rsidR="00585A01">
        <w:rPr>
          <w:rStyle w:val="lev"/>
          <w:color w:val="000000" w:themeColor="text1"/>
        </w:rPr>
        <w:fldChar w:fldCharType="end"/>
      </w:r>
      <w:bookmarkEnd w:id="13"/>
      <w:r w:rsidRPr="00164731">
        <w:rPr>
          <w:rStyle w:val="lev"/>
          <w:color w:val="000000" w:themeColor="text1"/>
        </w:rPr>
        <w:t xml:space="preserve"> </w:t>
      </w:r>
      <w:r w:rsidR="00585A01" w:rsidRPr="00164731">
        <w:rPr>
          <w:color w:val="000000" w:themeColor="text1"/>
        </w:rPr>
        <w:t>des métiers cœurs de Natixis</w:t>
      </w:r>
      <w:r w:rsidR="00585A01">
        <w:rPr>
          <w:color w:val="000000" w:themeColor="text1"/>
        </w:rPr>
        <w:t xml:space="preserve"> </w:t>
      </w:r>
      <w:r w:rsidRPr="00164731">
        <w:rPr>
          <w:color w:val="000000" w:themeColor="text1"/>
        </w:rPr>
        <w:t>s’améliore, avec une baisse de 1,5</w:t>
      </w:r>
      <w:r w:rsidR="00095714">
        <w:rPr>
          <w:color w:val="000000" w:themeColor="text1"/>
        </w:rPr>
        <w:t> </w:t>
      </w:r>
      <w:r w:rsidRPr="00164731">
        <w:rPr>
          <w:color w:val="000000" w:themeColor="text1"/>
        </w:rPr>
        <w:t>point et ressort à 63,5 % au 31 mars 2015.</w:t>
      </w:r>
      <w:r w:rsidR="001933C4">
        <w:rPr>
          <w:color w:val="000000" w:themeColor="text1"/>
        </w:rPr>
        <w:t xml:space="preserve"> </w:t>
      </w:r>
      <w:r w:rsidR="00900747" w:rsidRPr="00164731">
        <w:rPr>
          <w:color w:val="000000" w:themeColor="text1"/>
        </w:rPr>
        <w:t xml:space="preserve">Le </w:t>
      </w:r>
      <w:r w:rsidR="00900747" w:rsidRPr="00164731">
        <w:rPr>
          <w:rStyle w:val="lev"/>
          <w:color w:val="000000" w:themeColor="text1"/>
        </w:rPr>
        <w:t>ROE</w:t>
      </w:r>
      <w:r w:rsidR="00585A01">
        <w:rPr>
          <w:rStyle w:val="lev"/>
          <w:color w:val="000000" w:themeColor="text1"/>
        </w:rPr>
        <w:fldChar w:fldCharType="begin"/>
      </w:r>
      <w:r w:rsidR="00585A01">
        <w:rPr>
          <w:rStyle w:val="lev"/>
          <w:color w:val="000000" w:themeColor="text1"/>
        </w:rPr>
        <w:instrText xml:space="preserve"> NOTEREF _Ref418514515 \f \h </w:instrText>
      </w:r>
      <w:r w:rsidR="00585A01">
        <w:rPr>
          <w:rStyle w:val="lev"/>
          <w:color w:val="000000" w:themeColor="text1"/>
        </w:rPr>
      </w:r>
      <w:r w:rsidR="00585A01">
        <w:rPr>
          <w:rStyle w:val="lev"/>
          <w:color w:val="000000" w:themeColor="text1"/>
        </w:rPr>
        <w:fldChar w:fldCharType="separate"/>
      </w:r>
      <w:r w:rsidR="000E7E26" w:rsidRPr="000E7E26">
        <w:rPr>
          <w:rStyle w:val="Appelnotedebasdep"/>
        </w:rPr>
        <w:t>23</w:t>
      </w:r>
      <w:r w:rsidR="00585A01">
        <w:rPr>
          <w:rStyle w:val="lev"/>
          <w:color w:val="000000" w:themeColor="text1"/>
        </w:rPr>
        <w:fldChar w:fldCharType="end"/>
      </w:r>
      <w:r w:rsidR="00900747" w:rsidRPr="00164731">
        <w:rPr>
          <w:rStyle w:val="lev"/>
          <w:color w:val="000000" w:themeColor="text1"/>
        </w:rPr>
        <w:t xml:space="preserve"> des métiers cœurs</w:t>
      </w:r>
      <w:r w:rsidR="00900747" w:rsidRPr="00164731">
        <w:rPr>
          <w:color w:val="000000" w:themeColor="text1"/>
        </w:rPr>
        <w:t xml:space="preserve"> de Natixis s’établit à 13</w:t>
      </w:r>
      <w:r w:rsidR="00095714">
        <w:rPr>
          <w:color w:val="000000" w:themeColor="text1"/>
        </w:rPr>
        <w:t> </w:t>
      </w:r>
      <w:r w:rsidR="00900747" w:rsidRPr="00164731">
        <w:rPr>
          <w:color w:val="000000" w:themeColor="text1"/>
        </w:rPr>
        <w:t>% au premier trimestre 2015, en augmentation de 2 points.</w:t>
      </w:r>
    </w:p>
    <w:p w:rsidR="00900747" w:rsidRPr="00164731" w:rsidRDefault="00900747" w:rsidP="00900747">
      <w:pPr>
        <w:pStyle w:val="2-TEXTECOURANTcommuniqu"/>
        <w:rPr>
          <w:color w:val="000000" w:themeColor="text1"/>
        </w:rPr>
      </w:pPr>
    </w:p>
    <w:p w:rsidR="0069247C" w:rsidRPr="002B3D74" w:rsidRDefault="00900747" w:rsidP="00DA68D8">
      <w:pPr>
        <w:pStyle w:val="Italique"/>
        <w:ind w:left="0" w:firstLine="0"/>
        <w:rPr>
          <w:color w:val="FF0000"/>
        </w:rPr>
      </w:pPr>
      <w:r w:rsidRPr="00164731">
        <w:rPr>
          <w:color w:val="000000" w:themeColor="text1"/>
        </w:rPr>
        <w:t xml:space="preserve">(Pour une analyse plus détaillée des métiers et des résultats de Natixis, merci de vous reporter au communiqué de presse de Natixis que vous trouverez en ligne sur </w:t>
      </w:r>
      <w:hyperlink r:id="rId10" w:history="1">
        <w:r w:rsidRPr="00164731">
          <w:rPr>
            <w:rStyle w:val="Lienhypertexte"/>
            <w:color w:val="000000" w:themeColor="text1"/>
          </w:rPr>
          <w:t>www.natixis.com</w:t>
        </w:r>
      </w:hyperlink>
      <w:r w:rsidRPr="00164731">
        <w:rPr>
          <w:color w:val="000000" w:themeColor="text1"/>
        </w:rPr>
        <w:t>).</w:t>
      </w:r>
    </w:p>
    <w:p w:rsidR="00A72198" w:rsidRDefault="00A72198">
      <w:pPr>
        <w:jc w:val="left"/>
        <w:rPr>
          <w:spacing w:val="-4"/>
          <w:sz w:val="20"/>
          <w:szCs w:val="20"/>
        </w:rPr>
      </w:pPr>
      <w:r>
        <w:br w:type="page"/>
      </w:r>
    </w:p>
    <w:p w:rsidR="0069247C" w:rsidRDefault="00602E64" w:rsidP="00A72198">
      <w:pPr>
        <w:pStyle w:val="3-Titre2"/>
      </w:pPr>
      <w:r>
        <w:rPr>
          <w:rStyle w:val="orange"/>
        </w:rPr>
        <w:lastRenderedPageBreak/>
        <w:t>3</w:t>
      </w:r>
      <w:r w:rsidR="0069247C" w:rsidRPr="00A72198">
        <w:rPr>
          <w:rStyle w:val="orange"/>
        </w:rPr>
        <w:t>.3</w:t>
      </w:r>
      <w:r w:rsidR="0069247C">
        <w:t xml:space="preserve"> Participations financières</w:t>
      </w:r>
    </w:p>
    <w:p w:rsidR="0069247C" w:rsidRPr="000E1EDF" w:rsidRDefault="004E3EE3">
      <w:pPr>
        <w:pStyle w:val="intro"/>
      </w:pPr>
      <w:r w:rsidRPr="006D1A95">
        <w:t xml:space="preserve">Le pôle Participations financières comprend les participations dans Nexity ainsi que les participations financières de Natixis (dont Coface et les activités de </w:t>
      </w:r>
      <w:proofErr w:type="spellStart"/>
      <w:r w:rsidRPr="006D1A95">
        <w:t>Private</w:t>
      </w:r>
      <w:proofErr w:type="spellEnd"/>
      <w:r w:rsidRPr="006D1A95">
        <w:t xml:space="preserve"> </w:t>
      </w:r>
      <w:proofErr w:type="spellStart"/>
      <w:r w:rsidRPr="006D1A95">
        <w:t>Equity</w:t>
      </w:r>
      <w:proofErr w:type="spellEnd"/>
      <w:r w:rsidR="00585A01">
        <w:t>.</w:t>
      </w:r>
      <w:r w:rsidRPr="006D1A95">
        <w:t>)</w:t>
      </w:r>
    </w:p>
    <w:p w:rsidR="00077ED8" w:rsidRPr="002B3D74" w:rsidRDefault="00077ED8" w:rsidP="0069247C">
      <w:pPr>
        <w:pStyle w:val="2-TEXTECOURANTcommuniqu"/>
        <w:rPr>
          <w:color w:val="FF0000"/>
        </w:rPr>
      </w:pPr>
    </w:p>
    <w:p w:rsidR="0069247C" w:rsidRPr="004D3F3B" w:rsidRDefault="0069247C" w:rsidP="0069247C">
      <w:pPr>
        <w:pStyle w:val="2-TEXTECOURANTcommuniqu"/>
      </w:pPr>
      <w:r w:rsidRPr="004D3F3B">
        <w:t xml:space="preserve">Au 31 </w:t>
      </w:r>
      <w:r w:rsidR="0011138C" w:rsidRPr="004D3F3B">
        <w:t>mars 2015</w:t>
      </w:r>
      <w:r w:rsidRPr="004D3F3B">
        <w:t>, le produit net bancaire des participation</w:t>
      </w:r>
      <w:r w:rsidR="003A4476" w:rsidRPr="004D3F3B">
        <w:t xml:space="preserve">s financières s’établit à </w:t>
      </w:r>
      <w:r w:rsidR="00D457CB" w:rsidRPr="004D3F3B">
        <w:t>227</w:t>
      </w:r>
      <w:r w:rsidR="003A4476" w:rsidRPr="004D3F3B">
        <w:t> </w:t>
      </w:r>
      <w:r w:rsidRPr="004D3F3B">
        <w:t xml:space="preserve">millions d’euros, en </w:t>
      </w:r>
      <w:r w:rsidR="00D457CB" w:rsidRPr="004D3F3B">
        <w:t>hausse de 6,3 %</w:t>
      </w:r>
      <w:r w:rsidR="00095714">
        <w:t xml:space="preserve"> </w:t>
      </w:r>
      <w:r w:rsidRPr="004D3F3B">
        <w:t xml:space="preserve">par rapport au </w:t>
      </w:r>
      <w:r w:rsidR="00D457CB" w:rsidRPr="004D3F3B">
        <w:t>premier trimestre 2014</w:t>
      </w:r>
      <w:r w:rsidR="0020405F" w:rsidRPr="004D3F3B">
        <w:t>. À 50</w:t>
      </w:r>
      <w:r w:rsidRPr="004D3F3B">
        <w:t xml:space="preserve"> millions d’euros, le résultat avant impôt </w:t>
      </w:r>
      <w:r w:rsidR="0020405F" w:rsidRPr="004D3F3B">
        <w:t>bondit</w:t>
      </w:r>
      <w:r w:rsidRPr="004D3F3B">
        <w:t xml:space="preserve"> de 31,</w:t>
      </w:r>
      <w:r w:rsidR="0020405F" w:rsidRPr="004D3F3B">
        <w:t>6</w:t>
      </w:r>
      <w:r w:rsidRPr="004D3F3B">
        <w:t xml:space="preserve"> % par rapport </w:t>
      </w:r>
      <w:r w:rsidR="0020405F" w:rsidRPr="004D3F3B">
        <w:t>au premier trimestre 2014</w:t>
      </w:r>
      <w:r w:rsidRPr="004D3F3B">
        <w:t xml:space="preserve">. </w:t>
      </w:r>
    </w:p>
    <w:p w:rsidR="0020405F" w:rsidRPr="004D3F3B" w:rsidRDefault="0020405F" w:rsidP="0069247C">
      <w:pPr>
        <w:pStyle w:val="2-TEXTECOURANTcommuniqu"/>
      </w:pPr>
    </w:p>
    <w:p w:rsidR="0020405F" w:rsidRDefault="009D6E08" w:rsidP="0069247C">
      <w:pPr>
        <w:pStyle w:val="2-TEXTECOURANTcommuniqu"/>
      </w:pPr>
      <w:r>
        <w:t>A</w:t>
      </w:r>
      <w:r w:rsidRPr="004D3F3B">
        <w:t>près retraitement de l’impact de l’IFRIC 21</w:t>
      </w:r>
      <w:r>
        <w:t>, l</w:t>
      </w:r>
      <w:r w:rsidR="0020405F" w:rsidRPr="004D3F3B">
        <w:t>e résultat av</w:t>
      </w:r>
      <w:r w:rsidR="00E32975">
        <w:t>ant</w:t>
      </w:r>
      <w:r w:rsidR="0020405F" w:rsidRPr="004D3F3B">
        <w:t xml:space="preserve"> impôt s’élève à 53 millions d’euros, en hausse de 27</w:t>
      </w:r>
      <w:r w:rsidR="00964470">
        <w:t>,0</w:t>
      </w:r>
      <w:r w:rsidR="0020405F" w:rsidRPr="004D3F3B">
        <w:t xml:space="preserve"> %.</w:t>
      </w:r>
    </w:p>
    <w:p w:rsidR="00964470" w:rsidRDefault="00964470" w:rsidP="0069247C">
      <w:pPr>
        <w:pStyle w:val="2-TEXTECOURANTcommuniqu"/>
      </w:pPr>
    </w:p>
    <w:p w:rsidR="00964470" w:rsidRPr="001E2817" w:rsidRDefault="00964470" w:rsidP="00964470">
      <w:pPr>
        <w:pStyle w:val="2-TEXTECOURANTcommuniqu"/>
      </w:pPr>
      <w:r>
        <w:t>A noter que l</w:t>
      </w:r>
      <w:r w:rsidRPr="001E2817">
        <w:t xml:space="preserve">e 7 avril 2015, le Groupe BPCE a cédé à </w:t>
      </w:r>
      <w:proofErr w:type="spellStart"/>
      <w:r w:rsidRPr="001E2817">
        <w:t>Banca</w:t>
      </w:r>
      <w:proofErr w:type="spellEnd"/>
      <w:r w:rsidRPr="001E2817">
        <w:t xml:space="preserve"> Transilvania sa participation minoritaire (24,5 %) dans </w:t>
      </w:r>
      <w:proofErr w:type="spellStart"/>
      <w:r w:rsidRPr="001E2817">
        <w:t>Volksbank</w:t>
      </w:r>
      <w:proofErr w:type="spellEnd"/>
      <w:r w:rsidRPr="001E2817">
        <w:t xml:space="preserve"> </w:t>
      </w:r>
      <w:proofErr w:type="spellStart"/>
      <w:r w:rsidRPr="001E2817">
        <w:t>România</w:t>
      </w:r>
      <w:proofErr w:type="spellEnd"/>
      <w:r w:rsidRPr="001E2817">
        <w:t>.</w:t>
      </w:r>
    </w:p>
    <w:p w:rsidR="0069247C" w:rsidRPr="002B3D74" w:rsidRDefault="0069247C" w:rsidP="0069247C">
      <w:pPr>
        <w:pStyle w:val="2-TEXTECOURANTcommuniqu"/>
        <w:rPr>
          <w:color w:val="FF0000"/>
        </w:rPr>
      </w:pPr>
    </w:p>
    <w:p w:rsidR="001743F4" w:rsidRDefault="001743F4" w:rsidP="0069247C">
      <w:pPr>
        <w:pStyle w:val="2-TEXTECOURANTcommuniqu"/>
      </w:pPr>
    </w:p>
    <w:p w:rsidR="0069247C" w:rsidRDefault="0069247C" w:rsidP="001743F4">
      <w:pPr>
        <w:pStyle w:val="3-Titre3"/>
      </w:pPr>
      <w:r>
        <w:t xml:space="preserve">Coface </w:t>
      </w:r>
    </w:p>
    <w:p w:rsidR="004B5B12" w:rsidRPr="00435E7A" w:rsidRDefault="004B5B12" w:rsidP="004B5B12">
      <w:pPr>
        <w:pStyle w:val="2-TEXTECOURANTcommuniqu"/>
      </w:pPr>
    </w:p>
    <w:p w:rsidR="004B5B12" w:rsidRPr="00435E7A" w:rsidRDefault="004B5B12" w:rsidP="004B5B12">
      <w:pPr>
        <w:pStyle w:val="2-TEXTECOURANTcommuniqu"/>
      </w:pPr>
      <w:r w:rsidRPr="00435E7A">
        <w:t>Le chiffre d’affaires</w:t>
      </w:r>
      <w:r w:rsidRPr="00435E7A">
        <w:rPr>
          <w:rStyle w:val="Appelnotedebasdep"/>
        </w:rPr>
        <w:footnoteReference w:id="24"/>
      </w:r>
      <w:r w:rsidRPr="00435E7A">
        <w:t xml:space="preserve"> de Coface progresse de 2,3 % au premier trimestre 2015 par rapport au premier trimestre 2014. Il s’établit à 377 millions d’euros au 31 mars 2015. </w:t>
      </w:r>
    </w:p>
    <w:p w:rsidR="004B5B12" w:rsidRPr="00435E7A" w:rsidRDefault="004B5B12" w:rsidP="004B5B12">
      <w:pPr>
        <w:pStyle w:val="2-TEXTECOURANTcommuniqu"/>
      </w:pPr>
    </w:p>
    <w:p w:rsidR="004B5B12" w:rsidRPr="00435E7A" w:rsidRDefault="004B5B12" w:rsidP="004B5B12">
      <w:pPr>
        <w:pStyle w:val="2-TEXTECOURANTcommuniqu"/>
      </w:pPr>
      <w:r w:rsidRPr="00435E7A">
        <w:t>L’assureur-crédit présente également une bonne maîtrise des charges</w:t>
      </w:r>
      <w:r w:rsidRPr="00435E7A">
        <w:rPr>
          <w:rStyle w:val="Appelnotedebasdep"/>
        </w:rPr>
        <w:footnoteReference w:id="25"/>
      </w:r>
      <w:r w:rsidRPr="00435E7A">
        <w:t xml:space="preserve">, </w:t>
      </w:r>
      <w:r w:rsidR="00D07867">
        <w:t xml:space="preserve">avec une faible hausse de </w:t>
      </w:r>
      <w:r w:rsidRPr="00435E7A">
        <w:t>0,3 % au premier trimestre 2015 par rapport au premier trimestre 2014.</w:t>
      </w:r>
    </w:p>
    <w:p w:rsidR="004B5B12" w:rsidRPr="00435E7A" w:rsidRDefault="004B5B12" w:rsidP="004B5B12">
      <w:pPr>
        <w:pStyle w:val="2-TEXTECOURANTcommuniqu"/>
      </w:pPr>
    </w:p>
    <w:p w:rsidR="004B5B12" w:rsidRPr="00435E7A" w:rsidRDefault="004B5B12" w:rsidP="004B5B12">
      <w:pPr>
        <w:pStyle w:val="2-TEXTECOURANTcommuniqu"/>
      </w:pPr>
      <w:r w:rsidRPr="00435E7A">
        <w:t xml:space="preserve">La gestion des risques </w:t>
      </w:r>
      <w:r w:rsidR="00964470">
        <w:t>r</w:t>
      </w:r>
      <w:r w:rsidRPr="00435E7A">
        <w:t>est</w:t>
      </w:r>
      <w:r w:rsidR="00964470">
        <w:t>e</w:t>
      </w:r>
      <w:r w:rsidRPr="00435E7A">
        <w:t xml:space="preserve"> efficiente :</w:t>
      </w:r>
    </w:p>
    <w:p w:rsidR="004B5B12" w:rsidRPr="00435E7A" w:rsidRDefault="004B5B12" w:rsidP="004B5B12">
      <w:pPr>
        <w:pStyle w:val="6-LISTEPUCE"/>
      </w:pPr>
      <w:r w:rsidRPr="00435E7A">
        <w:t xml:space="preserve">le </w:t>
      </w:r>
      <w:proofErr w:type="spellStart"/>
      <w:r w:rsidRPr="00435E7A">
        <w:t>loss</w:t>
      </w:r>
      <w:proofErr w:type="spellEnd"/>
      <w:r w:rsidRPr="00435E7A">
        <w:t xml:space="preserve"> ratio ressort à 49,8 % contre 52,3 % au premier trimestre 2014</w:t>
      </w:r>
    </w:p>
    <w:p w:rsidR="004B5B12" w:rsidRPr="00435E7A" w:rsidRDefault="004B5B12" w:rsidP="004B5B12">
      <w:pPr>
        <w:pStyle w:val="6-LISTEPUCE"/>
      </w:pPr>
      <w:r w:rsidRPr="00435E7A">
        <w:t xml:space="preserve">le </w:t>
      </w:r>
      <w:proofErr w:type="spellStart"/>
      <w:r w:rsidRPr="00435E7A">
        <w:t>cost</w:t>
      </w:r>
      <w:proofErr w:type="spellEnd"/>
      <w:r w:rsidRPr="00435E7A">
        <w:t xml:space="preserve"> ratio</w:t>
      </w:r>
      <w:r w:rsidR="00964470">
        <w:t xml:space="preserve"> </w:t>
      </w:r>
      <w:r w:rsidRPr="00435E7A">
        <w:t>s’élève à 27,7 % contre 25,4 % au premier trimestre 2014</w:t>
      </w:r>
    </w:p>
    <w:p w:rsidR="004B5B12" w:rsidRPr="00435E7A" w:rsidRDefault="004B5B12" w:rsidP="004B5B12">
      <w:pPr>
        <w:pStyle w:val="6-LISTEPUCE"/>
      </w:pPr>
      <w:r w:rsidRPr="00435E7A">
        <w:t>le ratio combiné</w:t>
      </w:r>
      <w:r w:rsidR="00964470">
        <w:t xml:space="preserve"> </w:t>
      </w:r>
      <w:r w:rsidRPr="00435E7A">
        <w:t>est stable, à 77,5 % contre 77,7 % au premier trimestre 2014</w:t>
      </w:r>
    </w:p>
    <w:p w:rsidR="004B5B12" w:rsidRPr="00435E7A" w:rsidRDefault="004B5B12" w:rsidP="004B5B12">
      <w:pPr>
        <w:pStyle w:val="2-TEXTECOURANTcommuniqu"/>
      </w:pPr>
    </w:p>
    <w:p w:rsidR="0069247C" w:rsidRDefault="0069247C" w:rsidP="0069247C">
      <w:pPr>
        <w:pStyle w:val="2-TEXTECOURANTcommuniqu"/>
      </w:pPr>
    </w:p>
    <w:p w:rsidR="0069247C" w:rsidRDefault="0069247C" w:rsidP="001743F4">
      <w:pPr>
        <w:pStyle w:val="3-Titre3"/>
      </w:pPr>
      <w:r>
        <w:t xml:space="preserve">Nexity </w:t>
      </w:r>
    </w:p>
    <w:p w:rsidR="0069247C" w:rsidRDefault="0069247C" w:rsidP="0069247C">
      <w:pPr>
        <w:pStyle w:val="2-TEXTECOURANTcommuniqu"/>
      </w:pPr>
    </w:p>
    <w:p w:rsidR="0069247C" w:rsidRPr="00A25990" w:rsidRDefault="0069247C" w:rsidP="0069247C">
      <w:pPr>
        <w:pStyle w:val="2-TEXTECOURANTcommuniqu"/>
      </w:pPr>
      <w:r w:rsidRPr="00A25990">
        <w:t xml:space="preserve">Les réservations de logements neufs ont augmenté de </w:t>
      </w:r>
      <w:r w:rsidR="00095714" w:rsidRPr="00A25990">
        <w:t>23</w:t>
      </w:r>
      <w:r w:rsidRPr="00A25990">
        <w:t xml:space="preserve"> % </w:t>
      </w:r>
      <w:r w:rsidR="00E32975">
        <w:t>par rapport au premier trimestre 2014</w:t>
      </w:r>
      <w:r w:rsidRPr="00A25990">
        <w:t>.</w:t>
      </w:r>
      <w:r w:rsidR="004D305F">
        <w:t xml:space="preserve"> </w:t>
      </w:r>
      <w:r w:rsidRPr="00A25990">
        <w:t xml:space="preserve">Le carnet de commandes au 31 </w:t>
      </w:r>
      <w:r w:rsidR="00095714" w:rsidRPr="00A25990">
        <w:t>mars</w:t>
      </w:r>
      <w:r w:rsidRPr="00A25990">
        <w:t xml:space="preserve"> 201</w:t>
      </w:r>
      <w:r w:rsidR="00095714" w:rsidRPr="00A25990">
        <w:t>5</w:t>
      </w:r>
      <w:r w:rsidRPr="00A25990">
        <w:t xml:space="preserve"> atteint 3,</w:t>
      </w:r>
      <w:r w:rsidR="00095714" w:rsidRPr="00A25990">
        <w:t>2</w:t>
      </w:r>
      <w:r w:rsidRPr="00A25990">
        <w:t xml:space="preserve"> milliards d’euros, soit 1</w:t>
      </w:r>
      <w:r w:rsidR="00095714">
        <w:t>8</w:t>
      </w:r>
      <w:r w:rsidRPr="00A25990">
        <w:t xml:space="preserve"> mois d’activité de promotion.</w:t>
      </w:r>
    </w:p>
    <w:p w:rsidR="0069247C" w:rsidRPr="00A25990" w:rsidRDefault="0069247C" w:rsidP="0069247C">
      <w:pPr>
        <w:pStyle w:val="2-TEXTECOURANTcommuniqu"/>
      </w:pPr>
    </w:p>
    <w:p w:rsidR="00CC244B" w:rsidRPr="00A25990" w:rsidRDefault="0069247C" w:rsidP="00CC244B">
      <w:pPr>
        <w:pStyle w:val="2-TEXTECOURANTcommuniqu"/>
      </w:pPr>
      <w:r w:rsidRPr="00A25990">
        <w:t>Le chiffre d’affaires</w:t>
      </w:r>
      <w:r w:rsidR="008F30AB" w:rsidRPr="00A25990">
        <w:rPr>
          <w:rStyle w:val="Appelnotedebasdep"/>
        </w:rPr>
        <w:footnoteReference w:id="26"/>
      </w:r>
      <w:r w:rsidR="003A4476" w:rsidRPr="00A25990">
        <w:t xml:space="preserve"> </w:t>
      </w:r>
      <w:r w:rsidRPr="00A25990">
        <w:t>s’élève à</w:t>
      </w:r>
      <w:r w:rsidR="00095714" w:rsidRPr="00A25990">
        <w:t xml:space="preserve"> 569 millions </w:t>
      </w:r>
      <w:r w:rsidRPr="00A25990">
        <w:t>d’euro</w:t>
      </w:r>
      <w:r w:rsidR="00095714" w:rsidRPr="00A25990">
        <w:t>s au 31 mars 2015</w:t>
      </w:r>
      <w:r w:rsidRPr="00A25990">
        <w:t xml:space="preserve">, soit une </w:t>
      </w:r>
      <w:r w:rsidR="00095714" w:rsidRPr="00A25990">
        <w:t>hausse de 13 </w:t>
      </w:r>
      <w:r w:rsidRPr="00A25990">
        <w:t xml:space="preserve">% </w:t>
      </w:r>
      <w:r w:rsidR="004D305F">
        <w:t>par rapport au 31 mars 2014</w:t>
      </w:r>
      <w:r w:rsidR="00CC244B" w:rsidRPr="00A25990">
        <w:t xml:space="preserve">. </w:t>
      </w:r>
      <w:r w:rsidRPr="00A25990">
        <w:t xml:space="preserve">Le chiffre d’affaires de l’immobilier résidentiel </w:t>
      </w:r>
      <w:r w:rsidR="00CC244B" w:rsidRPr="00A25990">
        <w:t>progresse de 6 % (2 % hors effet périmètre)</w:t>
      </w:r>
      <w:r w:rsidRPr="00A25990">
        <w:t>.</w:t>
      </w:r>
      <w:r w:rsidR="00CC244B" w:rsidRPr="00A25990">
        <w:t xml:space="preserve"> L’activité en immobilier d’entreprise redémarre avec une croissance du chiffre d’affaires de 55 % grâce à la montée en puissance des opérations engagées en 2013. </w:t>
      </w:r>
    </w:p>
    <w:p w:rsidR="0069247C" w:rsidRPr="00A25990" w:rsidRDefault="0069247C" w:rsidP="0069247C">
      <w:pPr>
        <w:pStyle w:val="2-TEXTECOURANTcommuniqu"/>
      </w:pPr>
    </w:p>
    <w:p w:rsidR="0069247C" w:rsidRPr="00A25990" w:rsidRDefault="0069247C" w:rsidP="0069247C">
      <w:pPr>
        <w:pStyle w:val="2-TEXTECOURANTcommuniqu"/>
      </w:pPr>
      <w:r w:rsidRPr="00A25990">
        <w:t>A</w:t>
      </w:r>
      <w:r w:rsidR="00CC244B" w:rsidRPr="00A25990">
        <w:t>u 31 mars 2015</w:t>
      </w:r>
      <w:r w:rsidRPr="00A25990">
        <w:t xml:space="preserve">, </w:t>
      </w:r>
      <w:r w:rsidR="002F71FF">
        <w:t xml:space="preserve">la contribution de </w:t>
      </w:r>
      <w:r w:rsidRPr="00A25990">
        <w:t xml:space="preserve">l’immobilier résidentiel </w:t>
      </w:r>
      <w:r w:rsidR="002F71FF">
        <w:t>au</w:t>
      </w:r>
      <w:r w:rsidRPr="00A25990">
        <w:t xml:space="preserve"> chiffre d’affaires</w:t>
      </w:r>
      <w:r w:rsidR="002F71FF">
        <w:t xml:space="preserve"> s’élève à </w:t>
      </w:r>
      <w:r w:rsidR="002F71FF" w:rsidRPr="00A25990">
        <w:t>63 %</w:t>
      </w:r>
      <w:r w:rsidRPr="00A25990">
        <w:t xml:space="preserve">, </w:t>
      </w:r>
      <w:r w:rsidR="002F71FF">
        <w:t xml:space="preserve">celle des </w:t>
      </w:r>
      <w:r w:rsidRPr="00A25990">
        <w:t>services, réseaux et autres</w:t>
      </w:r>
      <w:r w:rsidR="002F71FF">
        <w:t xml:space="preserve">, à </w:t>
      </w:r>
      <w:r w:rsidRPr="00A25990">
        <w:t>2</w:t>
      </w:r>
      <w:r w:rsidR="00CC244B" w:rsidRPr="00A25990">
        <w:t>2</w:t>
      </w:r>
      <w:r w:rsidRPr="00A25990">
        <w:t xml:space="preserve"> % et </w:t>
      </w:r>
      <w:r w:rsidR="002F71FF">
        <w:t xml:space="preserve">celle de </w:t>
      </w:r>
      <w:r w:rsidRPr="00A25990">
        <w:t xml:space="preserve">l’immobilier d’entreprise, </w:t>
      </w:r>
      <w:r w:rsidR="002F71FF">
        <w:t xml:space="preserve">à </w:t>
      </w:r>
      <w:r w:rsidRPr="00A25990">
        <w:t>1</w:t>
      </w:r>
      <w:r w:rsidR="00CC244B" w:rsidRPr="00A25990">
        <w:t>5</w:t>
      </w:r>
      <w:r w:rsidRPr="00A25990">
        <w:t xml:space="preserve"> %.</w:t>
      </w:r>
    </w:p>
    <w:p w:rsidR="0069247C" w:rsidRDefault="0069247C" w:rsidP="0069247C">
      <w:pPr>
        <w:pStyle w:val="2-TEXTECOURANTcommuniqu"/>
      </w:pPr>
    </w:p>
    <w:p w:rsidR="0069247C" w:rsidRDefault="0069247C" w:rsidP="0069247C">
      <w:pPr>
        <w:pStyle w:val="2-TEXTECOURANTcommuniqu"/>
      </w:pPr>
    </w:p>
    <w:p w:rsidR="0069247C" w:rsidRDefault="0069247C" w:rsidP="0069247C">
      <w:pPr>
        <w:pStyle w:val="2-TEXTECOURANTcommuniqu"/>
      </w:pPr>
      <w:r>
        <w:t> </w:t>
      </w:r>
    </w:p>
    <w:p w:rsidR="0069247C" w:rsidRDefault="0069247C" w:rsidP="0069247C">
      <w:pPr>
        <w:pStyle w:val="2-TEXTECOURANTcommuniqu"/>
      </w:pPr>
    </w:p>
    <w:p w:rsidR="001743F4" w:rsidRDefault="001743F4">
      <w:pPr>
        <w:jc w:val="left"/>
        <w:rPr>
          <w:spacing w:val="-4"/>
          <w:sz w:val="20"/>
          <w:szCs w:val="20"/>
        </w:rPr>
      </w:pPr>
    </w:p>
    <w:p w:rsidR="00964470" w:rsidRDefault="00964470">
      <w:pPr>
        <w:jc w:val="left"/>
        <w:rPr>
          <w:spacing w:val="-4"/>
          <w:sz w:val="20"/>
          <w:szCs w:val="20"/>
        </w:rPr>
      </w:pPr>
      <w:r>
        <w:br w:type="page"/>
      </w:r>
    </w:p>
    <w:p w:rsidR="0069247C" w:rsidRPr="000D583E" w:rsidRDefault="0069247C" w:rsidP="0069247C">
      <w:pPr>
        <w:pStyle w:val="2-TEXTECOURANTcommuniqu"/>
      </w:pPr>
      <w:r w:rsidRPr="000D583E">
        <w:lastRenderedPageBreak/>
        <w:t xml:space="preserve">Pour en savoir plus sur les résultats financiers </w:t>
      </w:r>
      <w:r w:rsidR="000D583E" w:rsidRPr="000D583E">
        <w:t>du premier trimestre 2015</w:t>
      </w:r>
      <w:r w:rsidRPr="000D583E">
        <w:t xml:space="preserve">, consulter le site </w:t>
      </w:r>
      <w:hyperlink r:id="rId11" w:history="1">
        <w:r w:rsidR="001743F4" w:rsidRPr="000D583E">
          <w:rPr>
            <w:rStyle w:val="Lienhypertexte"/>
            <w:color w:val="auto"/>
          </w:rPr>
          <w:t>www.groupebpce.fr</w:t>
        </w:r>
      </w:hyperlink>
      <w:r w:rsidR="001743F4" w:rsidRPr="000D583E">
        <w:t>,</w:t>
      </w:r>
      <w:r w:rsidR="003A4476" w:rsidRPr="000D583E">
        <w:t xml:space="preserve"> </w:t>
      </w:r>
      <w:r w:rsidRPr="000D583E">
        <w:t xml:space="preserve">rubrique Investisseurs / Résultats </w:t>
      </w:r>
    </w:p>
    <w:p w:rsidR="0069247C" w:rsidRPr="002B3D74" w:rsidRDefault="0069247C" w:rsidP="0069247C">
      <w:pPr>
        <w:pStyle w:val="2-TEXTECOURANTcommuniqu"/>
        <w:rPr>
          <w:color w:val="FF0000"/>
        </w:rPr>
      </w:pPr>
    </w:p>
    <w:p w:rsidR="001743F4" w:rsidRPr="002B3D74" w:rsidRDefault="001743F4" w:rsidP="0069247C">
      <w:pPr>
        <w:pStyle w:val="2-TEXTECOURANTcommuniqu"/>
        <w:rPr>
          <w:color w:val="FF0000"/>
        </w:rPr>
      </w:pPr>
    </w:p>
    <w:p w:rsidR="0069247C" w:rsidRPr="002B3D74" w:rsidRDefault="0069247C" w:rsidP="0069247C">
      <w:pPr>
        <w:pStyle w:val="2-TEXTECOURANTcommuniqu"/>
        <w:rPr>
          <w:color w:val="FF0000"/>
        </w:rPr>
      </w:pPr>
    </w:p>
    <w:tbl>
      <w:tblPr>
        <w:tblStyle w:val="Grilledutableau"/>
        <w:tblW w:w="9639" w:type="dxa"/>
        <w:tblInd w:w="108" w:type="dxa"/>
        <w:tblCellMar>
          <w:left w:w="142" w:type="dxa"/>
          <w:right w:w="142" w:type="dxa"/>
        </w:tblCellMar>
        <w:tblLook w:val="04A0" w:firstRow="1" w:lastRow="0" w:firstColumn="1" w:lastColumn="0" w:noHBand="0" w:noVBand="1"/>
      </w:tblPr>
      <w:tblGrid>
        <w:gridCol w:w="9639"/>
      </w:tblGrid>
      <w:tr w:rsidR="002B3D74" w:rsidRPr="002B3D74" w:rsidTr="0032205F">
        <w:tc>
          <w:tcPr>
            <w:tcW w:w="9639" w:type="dxa"/>
            <w:tcBorders>
              <w:top w:val="nil"/>
              <w:left w:val="nil"/>
              <w:bottom w:val="nil"/>
              <w:right w:val="nil"/>
            </w:tcBorders>
            <w:shd w:val="clear" w:color="auto" w:fill="D9D9D9" w:themeFill="background1" w:themeFillShade="D9"/>
          </w:tcPr>
          <w:p w:rsidR="001743F4" w:rsidRPr="00585F1A" w:rsidRDefault="001743F4" w:rsidP="0032205F">
            <w:pPr>
              <w:pStyle w:val="2-TEXTECOURANTcommuniqu"/>
              <w:spacing w:before="240" w:after="120" w:line="240" w:lineRule="auto"/>
              <w:rPr>
                <w:b/>
                <w:sz w:val="18"/>
                <w:szCs w:val="18"/>
              </w:rPr>
            </w:pPr>
            <w:r w:rsidRPr="00585F1A">
              <w:rPr>
                <w:b/>
                <w:sz w:val="18"/>
                <w:szCs w:val="18"/>
              </w:rPr>
              <w:t xml:space="preserve">Précisions méthodologiques </w:t>
            </w:r>
          </w:p>
          <w:p w:rsidR="001B3026" w:rsidRDefault="00585F1A" w:rsidP="001B3026">
            <w:pPr>
              <w:pStyle w:val="Paragraphedeliste"/>
              <w:numPr>
                <w:ilvl w:val="0"/>
                <w:numId w:val="19"/>
              </w:numPr>
              <w:autoSpaceDE w:val="0"/>
              <w:autoSpaceDN w:val="0"/>
              <w:adjustRightInd w:val="0"/>
              <w:ind w:left="601" w:hanging="241"/>
              <w:rPr>
                <w:rFonts w:cs="Verdana,Italic"/>
                <w:i/>
                <w:iCs/>
                <w:sz w:val="18"/>
                <w:szCs w:val="18"/>
              </w:rPr>
            </w:pPr>
            <w:r w:rsidRPr="00A25990">
              <w:rPr>
                <w:rFonts w:cs="Verdana,Italic"/>
                <w:i/>
                <w:iCs/>
                <w:sz w:val="18"/>
                <w:szCs w:val="18"/>
              </w:rPr>
              <w:t>Présentation des résultats trimestriels T1-14 pro forma</w:t>
            </w:r>
          </w:p>
          <w:p w:rsidR="00CC244B" w:rsidRPr="00A25990" w:rsidRDefault="00CC244B" w:rsidP="00A25990">
            <w:pPr>
              <w:autoSpaceDE w:val="0"/>
              <w:autoSpaceDN w:val="0"/>
              <w:adjustRightInd w:val="0"/>
              <w:spacing w:line="240" w:lineRule="auto"/>
              <w:rPr>
                <w:rFonts w:cs="Verdana,Italic"/>
                <w:i/>
                <w:iCs/>
                <w:sz w:val="18"/>
                <w:szCs w:val="18"/>
              </w:rPr>
            </w:pPr>
            <w:r w:rsidRPr="00A25990">
              <w:rPr>
                <w:rFonts w:cs="Verdana,Italic"/>
                <w:i/>
                <w:iCs/>
                <w:sz w:val="18"/>
                <w:szCs w:val="18"/>
              </w:rPr>
              <w:t>L’information sectorielle a été modifiée à compter du T2-14. Le pôle Banque commerciale et Assurance comprend désormais 3 sous-pôles : les Banques Populaires, les Caisses d’Epargne et le sous-pôle Autres réseaux</w:t>
            </w:r>
            <w:r w:rsidR="00E150C3">
              <w:rPr>
                <w:rFonts w:cs="Verdana,Italic"/>
                <w:i/>
                <w:iCs/>
                <w:sz w:val="18"/>
                <w:szCs w:val="18"/>
              </w:rPr>
              <w:t xml:space="preserve"> (anciennement Assurance et autres réseaux)</w:t>
            </w:r>
            <w:r w:rsidRPr="00A25990">
              <w:rPr>
                <w:rFonts w:cs="Verdana,Italic"/>
                <w:i/>
                <w:iCs/>
                <w:sz w:val="18"/>
                <w:szCs w:val="18"/>
              </w:rPr>
              <w:t>, qui regroupe essentiellement les filiales Banque Palatine, BPCE IOM, Crédit Foncier et la participation minoritaire dans CNP Assurances. Par ailleurs, le sous-pôle Activités en gestion extinctive a été regroupé avec le pôle Hors métiers.</w:t>
            </w:r>
          </w:p>
          <w:p w:rsidR="00CC244B" w:rsidRPr="00A25990" w:rsidRDefault="00CC244B" w:rsidP="00A25990">
            <w:pPr>
              <w:autoSpaceDE w:val="0"/>
              <w:autoSpaceDN w:val="0"/>
              <w:adjustRightInd w:val="0"/>
              <w:spacing w:line="240" w:lineRule="auto"/>
              <w:rPr>
                <w:rFonts w:cs="Verdana,Italic"/>
                <w:i/>
                <w:iCs/>
                <w:sz w:val="18"/>
                <w:szCs w:val="18"/>
              </w:rPr>
            </w:pPr>
            <w:r w:rsidRPr="00A25990">
              <w:rPr>
                <w:rFonts w:cs="Verdana,Italic"/>
                <w:i/>
                <w:iCs/>
                <w:sz w:val="18"/>
                <w:szCs w:val="18"/>
              </w:rPr>
              <w:t>Suite à la cession de 7 % du capital et des droits de vote, la participation résiduelle du groupe dans Nexity est consolidée selon la méthode de mise en équivalence depuis le 31/12/2014.</w:t>
            </w:r>
          </w:p>
          <w:p w:rsidR="00CC244B" w:rsidRPr="00A25990" w:rsidRDefault="00CC244B" w:rsidP="00A25990">
            <w:pPr>
              <w:autoSpaceDE w:val="0"/>
              <w:autoSpaceDN w:val="0"/>
              <w:adjustRightInd w:val="0"/>
              <w:spacing w:line="240" w:lineRule="auto"/>
              <w:rPr>
                <w:rFonts w:cs="Verdana,Italic"/>
                <w:i/>
                <w:iCs/>
                <w:sz w:val="18"/>
                <w:szCs w:val="18"/>
              </w:rPr>
            </w:pPr>
            <w:r w:rsidRPr="00A25990">
              <w:rPr>
                <w:rFonts w:cs="Verdana,Italic"/>
                <w:i/>
                <w:iCs/>
                <w:sz w:val="18"/>
                <w:szCs w:val="18"/>
              </w:rPr>
              <w:t>Par ailleurs, l’application des normes IFRS 10 et IFRS 11 a entraîné une évolution du périmètre de consolidation du groupe Crédit Coopératif.</w:t>
            </w:r>
          </w:p>
          <w:p w:rsidR="001B3026" w:rsidRDefault="00CC244B" w:rsidP="001B3026">
            <w:pPr>
              <w:autoSpaceDE w:val="0"/>
              <w:autoSpaceDN w:val="0"/>
              <w:adjustRightInd w:val="0"/>
              <w:spacing w:line="240" w:lineRule="auto"/>
              <w:rPr>
                <w:rFonts w:cs="Verdana,Italic"/>
                <w:i/>
                <w:iCs/>
                <w:sz w:val="18"/>
                <w:szCs w:val="18"/>
              </w:rPr>
            </w:pPr>
            <w:r w:rsidRPr="00A25990">
              <w:rPr>
                <w:rFonts w:cs="Verdana,Italic"/>
                <w:i/>
                <w:iCs/>
                <w:sz w:val="18"/>
                <w:szCs w:val="18"/>
              </w:rPr>
              <w:t>L’application rétroactive de la norme IFRIC 21 au 1</w:t>
            </w:r>
            <w:r w:rsidRPr="00453D34">
              <w:rPr>
                <w:rFonts w:cs="Verdana,Italic"/>
                <w:i/>
                <w:iCs/>
                <w:sz w:val="18"/>
                <w:szCs w:val="18"/>
                <w:vertAlign w:val="superscript"/>
              </w:rPr>
              <w:t>er</w:t>
            </w:r>
            <w:r w:rsidRPr="00A25990">
              <w:rPr>
                <w:rFonts w:cs="Verdana,Italic"/>
                <w:i/>
                <w:iCs/>
                <w:sz w:val="18"/>
                <w:szCs w:val="18"/>
              </w:rPr>
              <w:t xml:space="preserve"> janvier 2014 conduit à prendre en totalité en charge dès le T1, les taxes et contributions payées à une autorité publique dès lors que le fait générateur intervient au T1 (celles-ci étaient auparavant généralement étalées sur l’année). </w:t>
            </w:r>
          </w:p>
          <w:p w:rsidR="001B3026" w:rsidRDefault="001B3026" w:rsidP="001B3026">
            <w:pPr>
              <w:autoSpaceDE w:val="0"/>
              <w:autoSpaceDN w:val="0"/>
              <w:adjustRightInd w:val="0"/>
              <w:spacing w:line="240" w:lineRule="auto"/>
              <w:rPr>
                <w:rFonts w:cs="Verdana,Italic"/>
                <w:i/>
                <w:iCs/>
                <w:sz w:val="18"/>
                <w:szCs w:val="18"/>
              </w:rPr>
            </w:pPr>
          </w:p>
          <w:p w:rsidR="001B3026" w:rsidRPr="001B3026" w:rsidRDefault="001B3026" w:rsidP="001B3026">
            <w:pPr>
              <w:pStyle w:val="Paragraphedeliste"/>
              <w:numPr>
                <w:ilvl w:val="0"/>
                <w:numId w:val="19"/>
              </w:numPr>
              <w:autoSpaceDE w:val="0"/>
              <w:autoSpaceDN w:val="0"/>
              <w:adjustRightInd w:val="0"/>
              <w:ind w:left="601" w:hanging="241"/>
              <w:rPr>
                <w:rFonts w:cs="Verdana,Italic"/>
                <w:i/>
                <w:iCs/>
                <w:sz w:val="18"/>
                <w:szCs w:val="18"/>
              </w:rPr>
            </w:pPr>
            <w:r w:rsidRPr="001B3026">
              <w:rPr>
                <w:rFonts w:cs="Verdana,Italic"/>
                <w:i/>
                <w:iCs/>
                <w:sz w:val="18"/>
                <w:szCs w:val="18"/>
              </w:rPr>
              <w:t>Performances des métiers mesurées en Bâle 3</w:t>
            </w:r>
          </w:p>
          <w:p w:rsidR="00CC244B" w:rsidRPr="00A25990" w:rsidRDefault="00CC244B" w:rsidP="00A25990">
            <w:pPr>
              <w:spacing w:line="240" w:lineRule="auto"/>
              <w:rPr>
                <w:rFonts w:cs="Verdana,Italic"/>
                <w:i/>
                <w:iCs/>
                <w:sz w:val="18"/>
                <w:szCs w:val="18"/>
              </w:rPr>
            </w:pPr>
            <w:r w:rsidRPr="00A25990">
              <w:rPr>
                <w:rFonts w:cs="Verdana,Italic"/>
                <w:i/>
                <w:iCs/>
                <w:sz w:val="18"/>
                <w:szCs w:val="18"/>
              </w:rPr>
              <w:t>L’allocation de fonds propres normatifs aux métiers du Groupe BPCE est réalisée depuis le T1-15 sur la base de 10 % des risques pondérés moyens en Bâle 3 (contre 9 % précédemment).</w:t>
            </w:r>
          </w:p>
          <w:p w:rsidR="00CC244B" w:rsidRPr="00A25990" w:rsidRDefault="00CC244B" w:rsidP="00A25990">
            <w:pPr>
              <w:autoSpaceDE w:val="0"/>
              <w:autoSpaceDN w:val="0"/>
              <w:adjustRightInd w:val="0"/>
              <w:spacing w:line="240" w:lineRule="auto"/>
              <w:rPr>
                <w:rFonts w:cs="Verdana,Italic"/>
                <w:i/>
                <w:iCs/>
                <w:sz w:val="18"/>
                <w:szCs w:val="18"/>
              </w:rPr>
            </w:pPr>
            <w:r w:rsidRPr="00A25990">
              <w:rPr>
                <w:rFonts w:cs="Verdana,Italic"/>
                <w:i/>
                <w:iCs/>
                <w:sz w:val="18"/>
                <w:szCs w:val="18"/>
              </w:rPr>
              <w:t>L’information sectorielle du Groupe BPCE a été retraitée en conséquence sur les périodes passées.</w:t>
            </w:r>
          </w:p>
          <w:p w:rsidR="001743F4" w:rsidRPr="002B3D74" w:rsidRDefault="001743F4" w:rsidP="0032205F">
            <w:pPr>
              <w:pStyle w:val="2-TEXTECOURANTcommuniqu"/>
              <w:spacing w:after="240" w:line="240" w:lineRule="auto"/>
              <w:rPr>
                <w:i/>
                <w:color w:val="FF0000"/>
                <w:sz w:val="18"/>
                <w:szCs w:val="18"/>
              </w:rPr>
            </w:pPr>
          </w:p>
        </w:tc>
      </w:tr>
    </w:tbl>
    <w:p w:rsidR="0069247C" w:rsidRDefault="0069247C" w:rsidP="0069247C">
      <w:pPr>
        <w:pStyle w:val="2-TEXTECOURANTcommuniqu"/>
      </w:pPr>
    </w:p>
    <w:p w:rsidR="0069247C" w:rsidRDefault="0069247C" w:rsidP="0069247C">
      <w:pPr>
        <w:pStyle w:val="2-TEXTECOURANTcommuniqu"/>
      </w:pPr>
    </w:p>
    <w:p w:rsidR="0069247C" w:rsidRDefault="0069247C" w:rsidP="0069247C">
      <w:pPr>
        <w:pStyle w:val="2-TEXTECOURANTcommuniqu"/>
      </w:pPr>
    </w:p>
    <w:p w:rsidR="007108CA" w:rsidRDefault="007108CA" w:rsidP="007108CA">
      <w:pPr>
        <w:pStyle w:val="Boldviolet"/>
      </w:pPr>
    </w:p>
    <w:p w:rsidR="007108CA" w:rsidRDefault="007108CA" w:rsidP="007108CA">
      <w:pPr>
        <w:pStyle w:val="Boldviolet"/>
      </w:pPr>
    </w:p>
    <w:p w:rsidR="007108CA" w:rsidRDefault="007108CA" w:rsidP="007108CA">
      <w:pPr>
        <w:pStyle w:val="Boldviolet"/>
      </w:pPr>
    </w:p>
    <w:p w:rsidR="001C300C" w:rsidRDefault="001C300C" w:rsidP="007108CA">
      <w:pPr>
        <w:pStyle w:val="Boldviolet"/>
      </w:pPr>
    </w:p>
    <w:p w:rsidR="001C300C" w:rsidRDefault="001C300C" w:rsidP="007108CA">
      <w:pPr>
        <w:pStyle w:val="Boldviolet"/>
      </w:pPr>
    </w:p>
    <w:p w:rsidR="007108CA" w:rsidRDefault="007108CA" w:rsidP="007108CA">
      <w:pPr>
        <w:pStyle w:val="2-TEXTECOURANTcommuniqu"/>
      </w:pPr>
    </w:p>
    <w:p w:rsidR="007108CA" w:rsidRPr="002015CA" w:rsidRDefault="007108CA" w:rsidP="007108CA">
      <w:pPr>
        <w:rPr>
          <w:i/>
          <w:sz w:val="18"/>
          <w:szCs w:val="18"/>
        </w:rPr>
      </w:pPr>
    </w:p>
    <w:p w:rsidR="007108CA" w:rsidRPr="002015CA" w:rsidRDefault="007108CA" w:rsidP="007108CA">
      <w:pPr>
        <w:tabs>
          <w:tab w:val="left" w:pos="2910"/>
        </w:tabs>
        <w:rPr>
          <w:i/>
          <w:sz w:val="18"/>
          <w:szCs w:val="18"/>
        </w:rPr>
      </w:pPr>
    </w:p>
    <w:p w:rsidR="007108CA" w:rsidRPr="00EB3E99" w:rsidRDefault="007108CA" w:rsidP="007108CA">
      <w:pPr>
        <w:rPr>
          <w:sz w:val="18"/>
          <w:szCs w:val="18"/>
        </w:rPr>
      </w:pPr>
    </w:p>
    <w:p w:rsidR="007108CA" w:rsidRPr="0023398F" w:rsidRDefault="007108CA" w:rsidP="007108CA">
      <w:pPr>
        <w:pStyle w:val="7-TitreAPROPOS"/>
      </w:pPr>
      <w:r>
        <w:t>À</w:t>
      </w:r>
      <w:r w:rsidRPr="0023398F">
        <w:t xml:space="preserve"> propos</w:t>
      </w:r>
      <w:r>
        <w:t xml:space="preserve"> du Groupe BPCE</w:t>
      </w:r>
    </w:p>
    <w:p w:rsidR="007108CA" w:rsidRDefault="007108CA" w:rsidP="007108CA">
      <w:pPr>
        <w:pStyle w:val="7-APROPOS"/>
      </w:pPr>
      <w:r w:rsidRPr="00EC7529">
        <w:t>Le Groupe BPCE, deuxième groupe bancaire en France, s’appuie sur deux réseaux de banque</w:t>
      </w:r>
      <w:r w:rsidR="00324FFE">
        <w:t>s</w:t>
      </w:r>
      <w:r w:rsidRPr="00EC7529">
        <w:t xml:space="preserve"> </w:t>
      </w:r>
      <w:r w:rsidRPr="00453D34">
        <w:t>commerciale</w:t>
      </w:r>
      <w:r w:rsidR="00324FFE" w:rsidRPr="00453D34">
        <w:t>s coopératives,</w:t>
      </w:r>
      <w:r w:rsidRPr="00EC7529">
        <w:t xml:space="preserve"> autonomes </w:t>
      </w:r>
      <w:r w:rsidR="001538AF">
        <w:t>et complémentaires : celui des 18</w:t>
      </w:r>
      <w:r w:rsidRPr="00EC7529">
        <w:t xml:space="preserve"> Banques Populaires et celui des 17 Caisses d'Epargne. Dans le domaine du financement de l’immobilier, il s’appuie également sur le Crédit Foncier. Il est un acteur majeur de la banque de grande clientèle, de la gestion d’actifs et des services financiers avec Natixis. Le Groupe BPCE compte plus de 36 millions de clients et bénéficie d’une large présence en France avec 8 000 agences, 1</w:t>
      </w:r>
      <w:r w:rsidR="00053F84">
        <w:t>08</w:t>
      </w:r>
      <w:r w:rsidRPr="00EC7529">
        <w:t xml:space="preserve"> 000 collaborateurs et plus</w:t>
      </w:r>
      <w:r w:rsidR="00053F84">
        <w:t xml:space="preserve"> de 8,9</w:t>
      </w:r>
      <w:r>
        <w:t xml:space="preserve"> millions de sociétaires.</w:t>
      </w:r>
    </w:p>
    <w:p w:rsidR="00A905D1" w:rsidRDefault="00A905D1" w:rsidP="00A905D1">
      <w:pPr>
        <w:pStyle w:val="2-TEXTECOURANTcommuniqu"/>
      </w:pPr>
    </w:p>
    <w:p w:rsidR="008F30AB" w:rsidRDefault="008F30AB" w:rsidP="00A905D1">
      <w:pPr>
        <w:pStyle w:val="2-TEXTECOURANTcommuniqu"/>
      </w:pPr>
    </w:p>
    <w:p w:rsidR="00A905D1" w:rsidRDefault="00A905D1" w:rsidP="00A905D1">
      <w:pPr>
        <w:pStyle w:val="2-TEXTECOURANTcommuniqu"/>
      </w:pPr>
    </w:p>
    <w:p w:rsidR="00A905D1" w:rsidRDefault="00A905D1" w:rsidP="00A905D1">
      <w:pPr>
        <w:pStyle w:val="2-TEXTECOURANTcommuniqu"/>
      </w:pPr>
    </w:p>
    <w:tbl>
      <w:tblPr>
        <w:tblW w:w="9638" w:type="dxa"/>
        <w:tblBorders>
          <w:top w:val="single" w:sz="4" w:space="0" w:color="581D74"/>
        </w:tblBorders>
        <w:tblCellMar>
          <w:top w:w="85" w:type="dxa"/>
          <w:left w:w="0" w:type="dxa"/>
          <w:right w:w="0" w:type="dxa"/>
        </w:tblCellMar>
        <w:tblLook w:val="01E0" w:firstRow="1" w:lastRow="1" w:firstColumn="1" w:lastColumn="1" w:noHBand="0" w:noVBand="0"/>
      </w:tblPr>
      <w:tblGrid>
        <w:gridCol w:w="4819"/>
        <w:gridCol w:w="4819"/>
      </w:tblGrid>
      <w:tr w:rsidR="001743F4" w:rsidRPr="00391739" w:rsidTr="00E748BA">
        <w:trPr>
          <w:trHeight w:val="742"/>
        </w:trPr>
        <w:tc>
          <w:tcPr>
            <w:tcW w:w="4819" w:type="dxa"/>
            <w:tcBorders>
              <w:top w:val="single" w:sz="4" w:space="0" w:color="581D74"/>
            </w:tcBorders>
          </w:tcPr>
          <w:p w:rsidR="001743F4" w:rsidRPr="00FD1221" w:rsidRDefault="001743F4" w:rsidP="00E748BA">
            <w:pPr>
              <w:tabs>
                <w:tab w:val="left" w:pos="426"/>
              </w:tabs>
              <w:rPr>
                <w:b/>
                <w:bCs/>
                <w:color w:val="581D74"/>
                <w:sz w:val="16"/>
                <w:szCs w:val="16"/>
              </w:rPr>
            </w:pPr>
            <w:r w:rsidRPr="00FD1221">
              <w:rPr>
                <w:b/>
                <w:bCs/>
                <w:color w:val="581D74"/>
                <w:sz w:val="16"/>
                <w:szCs w:val="16"/>
              </w:rPr>
              <w:t>Contacts presse Groupe BPCE</w:t>
            </w:r>
          </w:p>
          <w:p w:rsidR="001743F4" w:rsidRPr="00FD1221" w:rsidRDefault="001743F4" w:rsidP="00E748BA">
            <w:pPr>
              <w:tabs>
                <w:tab w:val="left" w:pos="426"/>
              </w:tabs>
              <w:spacing w:before="80"/>
              <w:rPr>
                <w:sz w:val="16"/>
                <w:szCs w:val="16"/>
              </w:rPr>
            </w:pPr>
            <w:r w:rsidRPr="00FD1221">
              <w:rPr>
                <w:sz w:val="16"/>
                <w:szCs w:val="16"/>
              </w:rPr>
              <w:t>Sabine Baudin : 01 58 40 47 62</w:t>
            </w:r>
          </w:p>
          <w:p w:rsidR="001743F4" w:rsidRPr="005C7783" w:rsidRDefault="001743F4" w:rsidP="00E748BA">
            <w:pPr>
              <w:tabs>
                <w:tab w:val="left" w:pos="426"/>
              </w:tabs>
              <w:rPr>
                <w:sz w:val="16"/>
                <w:szCs w:val="16"/>
              </w:rPr>
            </w:pPr>
            <w:r w:rsidRPr="005C7783">
              <w:rPr>
                <w:sz w:val="16"/>
                <w:szCs w:val="16"/>
              </w:rPr>
              <w:t xml:space="preserve">Anne-Laure </w:t>
            </w:r>
            <w:proofErr w:type="spellStart"/>
            <w:r w:rsidRPr="005C7783">
              <w:rPr>
                <w:sz w:val="16"/>
                <w:szCs w:val="16"/>
              </w:rPr>
              <w:t>Declaye</w:t>
            </w:r>
            <w:proofErr w:type="spellEnd"/>
            <w:r>
              <w:rPr>
                <w:sz w:val="16"/>
                <w:szCs w:val="16"/>
              </w:rPr>
              <w:t> : 01 58 40 61 79</w:t>
            </w:r>
          </w:p>
          <w:p w:rsidR="001743F4" w:rsidRPr="005C7783" w:rsidRDefault="001743F4" w:rsidP="00E748BA">
            <w:pPr>
              <w:tabs>
                <w:tab w:val="left" w:pos="426"/>
              </w:tabs>
              <w:rPr>
                <w:sz w:val="16"/>
                <w:szCs w:val="16"/>
              </w:rPr>
            </w:pPr>
            <w:r w:rsidRPr="005C7783">
              <w:rPr>
                <w:sz w:val="16"/>
                <w:szCs w:val="16"/>
              </w:rPr>
              <w:t>Marie de Clercq</w:t>
            </w:r>
            <w:r>
              <w:rPr>
                <w:sz w:val="16"/>
                <w:szCs w:val="16"/>
              </w:rPr>
              <w:t> : 01 58 40 59 26</w:t>
            </w:r>
          </w:p>
          <w:p w:rsidR="001743F4" w:rsidRDefault="001743F4" w:rsidP="00E748BA">
            <w:pPr>
              <w:tabs>
                <w:tab w:val="left" w:pos="426"/>
              </w:tabs>
              <w:spacing w:before="40"/>
              <w:rPr>
                <w:rStyle w:val="Lienhypertexte"/>
              </w:rPr>
            </w:pPr>
            <w:r w:rsidRPr="00FD1221">
              <w:rPr>
                <w:color w:val="581D74"/>
                <w:sz w:val="16"/>
                <w:szCs w:val="16"/>
              </w:rPr>
              <w:t xml:space="preserve">mail : </w:t>
            </w:r>
            <w:hyperlink r:id="rId12" w:history="1">
              <w:r w:rsidRPr="00FD1221">
                <w:rPr>
                  <w:rStyle w:val="Lienhypertexte"/>
                  <w:color w:val="581D74"/>
                  <w:sz w:val="16"/>
                  <w:szCs w:val="16"/>
                </w:rPr>
                <w:t>presse@bpce.fr</w:t>
              </w:r>
            </w:hyperlink>
          </w:p>
          <w:p w:rsidR="001743F4" w:rsidRPr="00FD1221" w:rsidRDefault="001743F4" w:rsidP="00E748BA">
            <w:pPr>
              <w:tabs>
                <w:tab w:val="left" w:pos="426"/>
              </w:tabs>
              <w:rPr>
                <w:color w:val="581D74"/>
                <w:sz w:val="16"/>
                <w:szCs w:val="16"/>
              </w:rPr>
            </w:pPr>
          </w:p>
        </w:tc>
        <w:tc>
          <w:tcPr>
            <w:tcW w:w="4819" w:type="dxa"/>
            <w:tcBorders>
              <w:top w:val="single" w:sz="4" w:space="0" w:color="581D74"/>
            </w:tcBorders>
          </w:tcPr>
          <w:p w:rsidR="001743F4" w:rsidRPr="00FD1221" w:rsidRDefault="001743F4" w:rsidP="00E748BA">
            <w:pPr>
              <w:tabs>
                <w:tab w:val="left" w:pos="426"/>
              </w:tabs>
              <w:ind w:right="403"/>
              <w:rPr>
                <w:b/>
                <w:bCs/>
                <w:color w:val="581D74"/>
                <w:sz w:val="16"/>
                <w:szCs w:val="16"/>
              </w:rPr>
            </w:pPr>
            <w:r w:rsidRPr="00FD1221">
              <w:rPr>
                <w:b/>
                <w:bCs/>
                <w:color w:val="581D74"/>
                <w:sz w:val="16"/>
                <w:szCs w:val="16"/>
              </w:rPr>
              <w:t>Relations investisseurs BPCE</w:t>
            </w:r>
          </w:p>
          <w:p w:rsidR="001743F4" w:rsidRPr="00FD1221" w:rsidRDefault="001743F4" w:rsidP="00E748BA">
            <w:pPr>
              <w:tabs>
                <w:tab w:val="left" w:pos="426"/>
              </w:tabs>
              <w:spacing w:before="80"/>
              <w:rPr>
                <w:sz w:val="16"/>
                <w:szCs w:val="16"/>
              </w:rPr>
            </w:pPr>
            <w:r w:rsidRPr="00FD1221">
              <w:rPr>
                <w:sz w:val="16"/>
                <w:szCs w:val="16"/>
              </w:rPr>
              <w:t>Roland Charbonnel : 01 58 40 69 30</w:t>
            </w:r>
          </w:p>
          <w:p w:rsidR="001743F4" w:rsidRPr="00FD1221" w:rsidRDefault="001743F4" w:rsidP="00E748BA">
            <w:pPr>
              <w:tabs>
                <w:tab w:val="left" w:pos="426"/>
              </w:tabs>
              <w:ind w:right="401"/>
              <w:rPr>
                <w:sz w:val="16"/>
                <w:szCs w:val="16"/>
                <w:lang w:val="en-GB"/>
              </w:rPr>
            </w:pPr>
            <w:r w:rsidRPr="00FD1221">
              <w:rPr>
                <w:sz w:val="16"/>
                <w:szCs w:val="16"/>
                <w:lang w:val="en-GB"/>
              </w:rPr>
              <w:t xml:space="preserve">Evelyne </w:t>
            </w:r>
            <w:proofErr w:type="spellStart"/>
            <w:r w:rsidRPr="00FD1221">
              <w:rPr>
                <w:sz w:val="16"/>
                <w:szCs w:val="16"/>
                <w:lang w:val="en-GB"/>
              </w:rPr>
              <w:t>Etcheverry</w:t>
            </w:r>
            <w:proofErr w:type="spellEnd"/>
            <w:r w:rsidRPr="00FD1221">
              <w:rPr>
                <w:sz w:val="16"/>
                <w:szCs w:val="16"/>
                <w:lang w:val="en-GB"/>
              </w:rPr>
              <w:t xml:space="preserve"> : 01 58 40 57 46</w:t>
            </w:r>
          </w:p>
          <w:p w:rsidR="001743F4" w:rsidRPr="005C5E9E" w:rsidRDefault="001743F4" w:rsidP="00E748BA">
            <w:pPr>
              <w:tabs>
                <w:tab w:val="left" w:pos="426"/>
              </w:tabs>
              <w:spacing w:before="40"/>
              <w:ind w:right="403"/>
              <w:rPr>
                <w:u w:val="single"/>
                <w:lang w:val="en-US"/>
              </w:rPr>
            </w:pPr>
            <w:r w:rsidRPr="005C5E9E">
              <w:rPr>
                <w:color w:val="581D74"/>
                <w:sz w:val="16"/>
                <w:szCs w:val="16"/>
                <w:lang w:val="en-US"/>
              </w:rPr>
              <w:t xml:space="preserve">mail : </w:t>
            </w:r>
            <w:hyperlink r:id="rId13" w:history="1">
              <w:r w:rsidRPr="005C5E9E">
                <w:rPr>
                  <w:rStyle w:val="Lienhypertexte"/>
                  <w:color w:val="581D74"/>
                  <w:sz w:val="16"/>
                  <w:szCs w:val="16"/>
                  <w:lang w:val="en-US"/>
                </w:rPr>
                <w:t>investor.relations@bpce.fr</w:t>
              </w:r>
            </w:hyperlink>
          </w:p>
        </w:tc>
      </w:tr>
      <w:tr w:rsidR="001743F4" w:rsidRPr="00FD1221" w:rsidTr="00E748BA">
        <w:tblPrEx>
          <w:tblCellMar>
            <w:top w:w="0" w:type="dxa"/>
          </w:tblCellMar>
        </w:tblPrEx>
        <w:trPr>
          <w:trHeight w:val="283"/>
        </w:trPr>
        <w:tc>
          <w:tcPr>
            <w:tcW w:w="4819" w:type="dxa"/>
            <w:tcBorders>
              <w:top w:val="nil"/>
            </w:tcBorders>
            <w:shd w:val="clear" w:color="auto" w:fill="D9D9D9" w:themeFill="background1" w:themeFillShade="D9"/>
            <w:vAlign w:val="center"/>
          </w:tcPr>
          <w:p w:rsidR="001743F4" w:rsidRPr="00FD1221" w:rsidRDefault="000E7E26" w:rsidP="00E748BA">
            <w:pPr>
              <w:tabs>
                <w:tab w:val="left" w:pos="7185"/>
              </w:tabs>
              <w:ind w:left="142"/>
              <w:jc w:val="left"/>
              <w:rPr>
                <w:color w:val="581D74"/>
              </w:rPr>
            </w:pPr>
            <w:hyperlink r:id="rId14" w:history="1">
              <w:r w:rsidR="001743F4" w:rsidRPr="00FD1221">
                <w:rPr>
                  <w:rStyle w:val="Lienhypertexte"/>
                  <w:b/>
                  <w:bCs/>
                  <w:sz w:val="16"/>
                  <w:szCs w:val="16"/>
                </w:rPr>
                <w:t>www.bpce.fr</w:t>
              </w:r>
            </w:hyperlink>
          </w:p>
        </w:tc>
        <w:tc>
          <w:tcPr>
            <w:tcW w:w="4819" w:type="dxa"/>
            <w:tcBorders>
              <w:top w:val="nil"/>
            </w:tcBorders>
            <w:shd w:val="clear" w:color="auto" w:fill="D9D9D9" w:themeFill="background1" w:themeFillShade="D9"/>
            <w:vAlign w:val="center"/>
          </w:tcPr>
          <w:p w:rsidR="001743F4" w:rsidRPr="00FD1221" w:rsidRDefault="001743F4" w:rsidP="00E748BA">
            <w:pPr>
              <w:tabs>
                <w:tab w:val="left" w:pos="7185"/>
              </w:tabs>
              <w:ind w:left="76"/>
              <w:jc w:val="left"/>
            </w:pPr>
            <w:r>
              <w:rPr>
                <w:noProof/>
              </w:rPr>
              <mc:AlternateContent>
                <mc:Choice Requires="wps">
                  <w:drawing>
                    <wp:anchor distT="0" distB="0" distL="114300" distR="36195" simplePos="0" relativeHeight="251662336" behindDoc="0" locked="0" layoutInCell="1" allowOverlap="1" wp14:anchorId="170575CA" wp14:editId="47847DFB">
                      <wp:simplePos x="0" y="0"/>
                      <wp:positionH relativeFrom="column">
                        <wp:posOffset>46990</wp:posOffset>
                      </wp:positionH>
                      <wp:positionV relativeFrom="paragraph">
                        <wp:posOffset>0</wp:posOffset>
                      </wp:positionV>
                      <wp:extent cx="172720" cy="144145"/>
                      <wp:effectExtent l="0" t="0" r="0" b="8255"/>
                      <wp:wrapSquare wrapText="bothSides"/>
                      <wp:docPr id="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720" cy="144145"/>
                              </a:xfrm>
                              <a:custGeom>
                                <a:avLst/>
                                <a:gdLst>
                                  <a:gd name="T0" fmla="*/ 73 w 73"/>
                                  <a:gd name="T1" fmla="*/ 7 h 60"/>
                                  <a:gd name="T2" fmla="*/ 64 w 73"/>
                                  <a:gd name="T3" fmla="*/ 9 h 60"/>
                                  <a:gd name="T4" fmla="*/ 71 w 73"/>
                                  <a:gd name="T5" fmla="*/ 1 h 60"/>
                                  <a:gd name="T6" fmla="*/ 62 w 73"/>
                                  <a:gd name="T7" fmla="*/ 5 h 60"/>
                                  <a:gd name="T8" fmla="*/ 51 w 73"/>
                                  <a:gd name="T9" fmla="*/ 0 h 60"/>
                                  <a:gd name="T10" fmla="*/ 36 w 73"/>
                                  <a:gd name="T11" fmla="*/ 15 h 60"/>
                                  <a:gd name="T12" fmla="*/ 36 w 73"/>
                                  <a:gd name="T13" fmla="*/ 18 h 60"/>
                                  <a:gd name="T14" fmla="*/ 5 w 73"/>
                                  <a:gd name="T15" fmla="*/ 3 h 60"/>
                                  <a:gd name="T16" fmla="*/ 3 w 73"/>
                                  <a:gd name="T17" fmla="*/ 10 h 60"/>
                                  <a:gd name="T18" fmla="*/ 10 w 73"/>
                                  <a:gd name="T19" fmla="*/ 23 h 60"/>
                                  <a:gd name="T20" fmla="*/ 3 w 73"/>
                                  <a:gd name="T21" fmla="*/ 21 h 60"/>
                                  <a:gd name="T22" fmla="*/ 3 w 73"/>
                                  <a:gd name="T23" fmla="*/ 21 h 60"/>
                                  <a:gd name="T24" fmla="*/ 15 w 73"/>
                                  <a:gd name="T25" fmla="*/ 36 h 60"/>
                                  <a:gd name="T26" fmla="*/ 11 w 73"/>
                                  <a:gd name="T27" fmla="*/ 36 h 60"/>
                                  <a:gd name="T28" fmla="*/ 8 w 73"/>
                                  <a:gd name="T29" fmla="*/ 36 h 60"/>
                                  <a:gd name="T30" fmla="*/ 22 w 73"/>
                                  <a:gd name="T31" fmla="*/ 47 h 60"/>
                                  <a:gd name="T32" fmla="*/ 3 w 73"/>
                                  <a:gd name="T33" fmla="*/ 53 h 60"/>
                                  <a:gd name="T34" fmla="*/ 0 w 73"/>
                                  <a:gd name="T35" fmla="*/ 53 h 60"/>
                                  <a:gd name="T36" fmla="*/ 23 w 73"/>
                                  <a:gd name="T37" fmla="*/ 60 h 60"/>
                                  <a:gd name="T38" fmla="*/ 66 w 73"/>
                                  <a:gd name="T39" fmla="*/ 17 h 60"/>
                                  <a:gd name="T40" fmla="*/ 66 w 73"/>
                                  <a:gd name="T41" fmla="*/ 15 h 60"/>
                                  <a:gd name="T42" fmla="*/ 73 w 73"/>
                                  <a:gd name="T43" fmla="*/ 7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73" h="60">
                                    <a:moveTo>
                                      <a:pt x="73" y="7"/>
                                    </a:moveTo>
                                    <a:cubicBezTo>
                                      <a:pt x="70" y="8"/>
                                      <a:pt x="67" y="9"/>
                                      <a:pt x="64" y="9"/>
                                    </a:cubicBezTo>
                                    <a:cubicBezTo>
                                      <a:pt x="68" y="8"/>
                                      <a:pt x="70" y="5"/>
                                      <a:pt x="71" y="1"/>
                                    </a:cubicBezTo>
                                    <a:cubicBezTo>
                                      <a:pt x="68" y="3"/>
                                      <a:pt x="65" y="4"/>
                                      <a:pt x="62" y="5"/>
                                    </a:cubicBezTo>
                                    <a:cubicBezTo>
                                      <a:pt x="59" y="2"/>
                                      <a:pt x="55" y="0"/>
                                      <a:pt x="51" y="0"/>
                                    </a:cubicBezTo>
                                    <a:cubicBezTo>
                                      <a:pt x="42" y="0"/>
                                      <a:pt x="36" y="7"/>
                                      <a:pt x="36" y="15"/>
                                    </a:cubicBezTo>
                                    <a:cubicBezTo>
                                      <a:pt x="36" y="16"/>
                                      <a:pt x="36" y="17"/>
                                      <a:pt x="36" y="18"/>
                                    </a:cubicBezTo>
                                    <a:cubicBezTo>
                                      <a:pt x="23" y="18"/>
                                      <a:pt x="12" y="12"/>
                                      <a:pt x="5" y="3"/>
                                    </a:cubicBezTo>
                                    <a:cubicBezTo>
                                      <a:pt x="4" y="5"/>
                                      <a:pt x="3" y="8"/>
                                      <a:pt x="3" y="10"/>
                                    </a:cubicBezTo>
                                    <a:cubicBezTo>
                                      <a:pt x="3" y="16"/>
                                      <a:pt x="6" y="20"/>
                                      <a:pt x="10" y="23"/>
                                    </a:cubicBezTo>
                                    <a:cubicBezTo>
                                      <a:pt x="7" y="23"/>
                                      <a:pt x="5" y="22"/>
                                      <a:pt x="3" y="21"/>
                                    </a:cubicBezTo>
                                    <a:cubicBezTo>
                                      <a:pt x="3" y="21"/>
                                      <a:pt x="3" y="21"/>
                                      <a:pt x="3" y="21"/>
                                    </a:cubicBezTo>
                                    <a:cubicBezTo>
                                      <a:pt x="3" y="28"/>
                                      <a:pt x="8" y="34"/>
                                      <a:pt x="15" y="36"/>
                                    </a:cubicBezTo>
                                    <a:cubicBezTo>
                                      <a:pt x="14" y="36"/>
                                      <a:pt x="12" y="36"/>
                                      <a:pt x="11" y="36"/>
                                    </a:cubicBezTo>
                                    <a:cubicBezTo>
                                      <a:pt x="10" y="36"/>
                                      <a:pt x="9" y="36"/>
                                      <a:pt x="8" y="36"/>
                                    </a:cubicBezTo>
                                    <a:cubicBezTo>
                                      <a:pt x="10" y="42"/>
                                      <a:pt x="16" y="46"/>
                                      <a:pt x="22" y="47"/>
                                    </a:cubicBezTo>
                                    <a:cubicBezTo>
                                      <a:pt x="17" y="51"/>
                                      <a:pt x="10" y="53"/>
                                      <a:pt x="3" y="53"/>
                                    </a:cubicBezTo>
                                    <a:cubicBezTo>
                                      <a:pt x="2" y="53"/>
                                      <a:pt x="1" y="53"/>
                                      <a:pt x="0" y="53"/>
                                    </a:cubicBezTo>
                                    <a:cubicBezTo>
                                      <a:pt x="7" y="57"/>
                                      <a:pt x="14" y="60"/>
                                      <a:pt x="23" y="60"/>
                                    </a:cubicBezTo>
                                    <a:cubicBezTo>
                                      <a:pt x="51" y="60"/>
                                      <a:pt x="66" y="37"/>
                                      <a:pt x="66" y="17"/>
                                    </a:cubicBezTo>
                                    <a:cubicBezTo>
                                      <a:pt x="66" y="16"/>
                                      <a:pt x="66" y="15"/>
                                      <a:pt x="66" y="15"/>
                                    </a:cubicBezTo>
                                    <a:cubicBezTo>
                                      <a:pt x="69" y="13"/>
                                      <a:pt x="71" y="10"/>
                                      <a:pt x="73" y="7"/>
                                    </a:cubicBezTo>
                                    <a:close/>
                                  </a:path>
                                </a:pathLst>
                              </a:custGeom>
                              <a:solidFill>
                                <a:srgbClr val="00B0F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3.7pt;margin-top:0;width:13.6pt;height:11.35pt;z-index:251662336;visibility:visible;mso-wrap-style:square;mso-width-percent:0;mso-height-percent:0;mso-wrap-distance-left:9pt;mso-wrap-distance-top:0;mso-wrap-distance-right:2.85pt;mso-wrap-distance-bottom:0;mso-position-horizontal:absolute;mso-position-horizontal-relative:text;mso-position-vertical:absolute;mso-position-vertical-relative:text;mso-width-percent:0;mso-height-percent:0;mso-width-relative:page;mso-height-relative:page;v-text-anchor:top" coordsize="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" path="m73,7c70,8,67,9,64,9,68,8,70,5,71,1,68,3,65,4,62,5,59,2,55,,51,,42,,36,7,36,15v,1,,2,,3c23,18,12,12,5,3,4,5,3,8,3,10v,6,3,10,7,13c7,23,5,22,3,21v,,,,,c3,28,8,34,15,36v-1,,-3,,-4,c10,36,9,36,8,36v2,6,8,10,14,11c17,51,10,53,3,53v-1,,-2,,-3,c7,57,14,60,23,60,51,60,66,37,66,17v,-1,,-2,,-2c69,13,71,10,73,7xe" fillcolor="#00b0f0" stroked="f">
                      <v:path arrowok="t" o:connecttype="custom" o:connectlocs="172720,16817;151426,21622;167988,2402;146694,12012;120667,0;85177,36036;85177,43244;11830,7207;7098,24024;23660,55256;7098,50451;7098,50451;35490,86487;26026,86487;18928,86487;52053,112914;7098,127328;0,127328;54419,144145;156158,40841;156158,36036;172720,16817" o:connectangles="0,0,0,0,0,0,0,0,0,0,0,0,0,0,0,0,0,0,0,0,0,0"/>
                      <w10:wrap type="square"/>
                    </v:shape>
                  </w:pict>
                </mc:Fallback>
              </mc:AlternateContent>
            </w:r>
            <w:r w:rsidRPr="00FD1221">
              <w:rPr>
                <w:iCs/>
                <w:sz w:val="16"/>
                <w:szCs w:val="16"/>
              </w:rPr>
              <w:t xml:space="preserve"> </w:t>
            </w:r>
            <w:hyperlink r:id="rId15" w:history="1">
              <w:r w:rsidRPr="00FD1221">
                <w:rPr>
                  <w:rStyle w:val="Lienhypertexte"/>
                  <w:iCs/>
                  <w:sz w:val="16"/>
                  <w:szCs w:val="16"/>
                </w:rPr>
                <w:t>@</w:t>
              </w:r>
              <w:proofErr w:type="spellStart"/>
              <w:r w:rsidRPr="00FD1221">
                <w:rPr>
                  <w:rStyle w:val="Lienhypertexte"/>
                  <w:iCs/>
                  <w:sz w:val="16"/>
                  <w:szCs w:val="16"/>
                </w:rPr>
                <w:t>GroupeBPCE</w:t>
              </w:r>
              <w:proofErr w:type="spellEnd"/>
            </w:hyperlink>
          </w:p>
        </w:tc>
      </w:tr>
    </w:tbl>
    <w:p w:rsidR="00796209" w:rsidRPr="001743F4" w:rsidRDefault="00796209" w:rsidP="00863298"/>
    <w:sectPr w:rsidR="00796209" w:rsidRPr="001743F4" w:rsidSect="008E7554">
      <w:headerReference w:type="default" r:id="rId16"/>
      <w:footerReference w:type="default" r:id="rId17"/>
      <w:headerReference w:type="first" r:id="rId18"/>
      <w:footerReference w:type="first" r:id="rId19"/>
      <w:type w:val="continuous"/>
      <w:pgSz w:w="11906" w:h="16838" w:code="9"/>
      <w:pgMar w:top="851" w:right="1134" w:bottom="397" w:left="1134" w:header="1134" w:footer="318" w:gutter="0"/>
      <w:pgNumType w:start="1"/>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2E9" w:rsidRDefault="006D42E9">
      <w:r>
        <w:separator/>
      </w:r>
    </w:p>
  </w:endnote>
  <w:endnote w:type="continuationSeparator" w:id="0">
    <w:p w:rsidR="006D42E9" w:rsidRDefault="006D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1E0" w:firstRow="1" w:lastRow="1" w:firstColumn="1" w:lastColumn="1" w:noHBand="0" w:noVBand="0"/>
    </w:tblPr>
    <w:tblGrid>
      <w:gridCol w:w="4832"/>
      <w:gridCol w:w="4806"/>
    </w:tblGrid>
    <w:tr w:rsidR="006D42E9" w:rsidTr="00E748BA">
      <w:tc>
        <w:tcPr>
          <w:tcW w:w="4832" w:type="dxa"/>
          <w:shd w:val="clear" w:color="auto" w:fill="auto"/>
        </w:tcPr>
        <w:p w:rsidR="006D42E9" w:rsidRPr="00E01572" w:rsidRDefault="006D42E9" w:rsidP="00E748BA">
          <w:pPr>
            <w:pStyle w:val="Pieddepage"/>
            <w:tabs>
              <w:tab w:val="clear" w:pos="4536"/>
              <w:tab w:val="clear" w:pos="9072"/>
              <w:tab w:val="right" w:pos="9638"/>
            </w:tabs>
            <w:spacing w:before="120" w:line="340" w:lineRule="atLeast"/>
            <w:rPr>
              <w:color w:val="581D74"/>
              <w:sz w:val="16"/>
              <w:szCs w:val="16"/>
            </w:rPr>
          </w:pPr>
        </w:p>
      </w:tc>
      <w:tc>
        <w:tcPr>
          <w:tcW w:w="4806" w:type="dxa"/>
          <w:shd w:val="clear" w:color="auto" w:fill="auto"/>
          <w:vAlign w:val="bottom"/>
        </w:tcPr>
        <w:p w:rsidR="006D42E9" w:rsidRPr="003924AC" w:rsidRDefault="006D42E9" w:rsidP="00E748BA">
          <w:pPr>
            <w:pStyle w:val="Pieddepage"/>
            <w:tabs>
              <w:tab w:val="clear" w:pos="4536"/>
              <w:tab w:val="clear" w:pos="9072"/>
              <w:tab w:val="right" w:pos="9638"/>
            </w:tabs>
            <w:spacing w:before="120" w:line="340" w:lineRule="atLeast"/>
            <w:jc w:val="right"/>
            <w:rPr>
              <w:color w:val="581D74"/>
              <w:sz w:val="16"/>
              <w:szCs w:val="16"/>
            </w:rPr>
          </w:pPr>
          <w:r w:rsidRPr="003924AC">
            <w:rPr>
              <w:rStyle w:val="Numrodepage"/>
              <w:color w:val="A778AE" w:themeColor="accent2"/>
              <w:sz w:val="16"/>
              <w:szCs w:val="16"/>
            </w:rPr>
            <w:fldChar w:fldCharType="begin"/>
          </w:r>
          <w:r w:rsidRPr="003924AC">
            <w:rPr>
              <w:rStyle w:val="Numrodepage"/>
              <w:color w:val="A778AE" w:themeColor="accent2"/>
              <w:sz w:val="16"/>
              <w:szCs w:val="16"/>
            </w:rPr>
            <w:instrText xml:space="preserve"> PAGE </w:instrText>
          </w:r>
          <w:r w:rsidRPr="003924AC">
            <w:rPr>
              <w:rStyle w:val="Numrodepage"/>
              <w:color w:val="A778AE" w:themeColor="accent2"/>
              <w:sz w:val="16"/>
              <w:szCs w:val="16"/>
            </w:rPr>
            <w:fldChar w:fldCharType="separate"/>
          </w:r>
          <w:r w:rsidR="000E7E26">
            <w:rPr>
              <w:rStyle w:val="Numrodepage"/>
              <w:noProof/>
              <w:color w:val="A778AE" w:themeColor="accent2"/>
              <w:sz w:val="16"/>
              <w:szCs w:val="16"/>
            </w:rPr>
            <w:t>13</w:t>
          </w:r>
          <w:r w:rsidRPr="003924AC">
            <w:rPr>
              <w:rStyle w:val="Numrodepage"/>
              <w:color w:val="A778AE" w:themeColor="accent2"/>
              <w:sz w:val="16"/>
              <w:szCs w:val="16"/>
            </w:rPr>
            <w:fldChar w:fldCharType="end"/>
          </w:r>
          <w:r w:rsidRPr="003924AC">
            <w:rPr>
              <w:rStyle w:val="Numrodepage"/>
              <w:color w:val="581D74"/>
              <w:sz w:val="16"/>
              <w:szCs w:val="16"/>
            </w:rPr>
            <w:t>|</w:t>
          </w:r>
          <w:r w:rsidRPr="003924AC">
            <w:rPr>
              <w:rStyle w:val="Numrodepage"/>
              <w:color w:val="581D74"/>
              <w:sz w:val="16"/>
              <w:szCs w:val="16"/>
            </w:rPr>
            <w:fldChar w:fldCharType="begin"/>
          </w:r>
          <w:r w:rsidRPr="003924AC">
            <w:rPr>
              <w:rStyle w:val="Numrodepage"/>
              <w:color w:val="581D74"/>
              <w:sz w:val="16"/>
              <w:szCs w:val="16"/>
            </w:rPr>
            <w:instrText xml:space="preserve"> NUMPAGES </w:instrText>
          </w:r>
          <w:r w:rsidRPr="003924AC">
            <w:rPr>
              <w:rStyle w:val="Numrodepage"/>
              <w:color w:val="581D74"/>
              <w:sz w:val="16"/>
              <w:szCs w:val="16"/>
            </w:rPr>
            <w:fldChar w:fldCharType="separate"/>
          </w:r>
          <w:r w:rsidR="000E7E26">
            <w:rPr>
              <w:rStyle w:val="Numrodepage"/>
              <w:noProof/>
              <w:color w:val="581D74"/>
              <w:sz w:val="16"/>
              <w:szCs w:val="16"/>
            </w:rPr>
            <w:t>13</w:t>
          </w:r>
          <w:r w:rsidRPr="003924AC">
            <w:rPr>
              <w:rStyle w:val="Numrodepage"/>
              <w:color w:val="581D74"/>
              <w:sz w:val="16"/>
              <w:szCs w:val="16"/>
            </w:rPr>
            <w:fldChar w:fldCharType="end"/>
          </w:r>
          <w:r w:rsidRPr="003924AC">
            <w:rPr>
              <w:rStyle w:val="Numrodepage"/>
              <w:color w:val="581D74"/>
              <w:sz w:val="16"/>
              <w:szCs w:val="16"/>
            </w:rPr>
            <w:t xml:space="preserve"> </w:t>
          </w:r>
        </w:p>
      </w:tc>
    </w:tr>
  </w:tbl>
  <w:p w:rsidR="006D42E9" w:rsidRPr="003924AC" w:rsidRDefault="006D42E9" w:rsidP="003924AC">
    <w:pPr>
      <w:pStyle w:val="Pieddepage"/>
      <w:rPr>
        <w:sz w:val="6"/>
        <w:szCs w:val="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1E0" w:firstRow="1" w:lastRow="1" w:firstColumn="1" w:lastColumn="1" w:noHBand="0" w:noVBand="0"/>
    </w:tblPr>
    <w:tblGrid>
      <w:gridCol w:w="4832"/>
      <w:gridCol w:w="4806"/>
    </w:tblGrid>
    <w:tr w:rsidR="006D42E9" w:rsidTr="00E748BA">
      <w:tc>
        <w:tcPr>
          <w:tcW w:w="4832" w:type="dxa"/>
          <w:shd w:val="clear" w:color="auto" w:fill="auto"/>
        </w:tcPr>
        <w:p w:rsidR="006D42E9" w:rsidRPr="00E01572" w:rsidRDefault="006D42E9" w:rsidP="00E748BA">
          <w:pPr>
            <w:pStyle w:val="Pieddepage"/>
            <w:tabs>
              <w:tab w:val="clear" w:pos="4536"/>
              <w:tab w:val="clear" w:pos="9072"/>
              <w:tab w:val="right" w:pos="9638"/>
            </w:tabs>
            <w:spacing w:before="120" w:line="340" w:lineRule="atLeast"/>
            <w:rPr>
              <w:color w:val="581D74"/>
              <w:sz w:val="16"/>
              <w:szCs w:val="16"/>
            </w:rPr>
          </w:pPr>
        </w:p>
      </w:tc>
      <w:tc>
        <w:tcPr>
          <w:tcW w:w="4806" w:type="dxa"/>
          <w:shd w:val="clear" w:color="auto" w:fill="auto"/>
          <w:vAlign w:val="bottom"/>
        </w:tcPr>
        <w:p w:rsidR="006D42E9" w:rsidRPr="003924AC" w:rsidRDefault="006D42E9" w:rsidP="00E748BA">
          <w:pPr>
            <w:pStyle w:val="Pieddepage"/>
            <w:tabs>
              <w:tab w:val="clear" w:pos="4536"/>
              <w:tab w:val="clear" w:pos="9072"/>
              <w:tab w:val="right" w:pos="9638"/>
            </w:tabs>
            <w:spacing w:before="120" w:line="340" w:lineRule="atLeast"/>
            <w:jc w:val="right"/>
            <w:rPr>
              <w:color w:val="581D74"/>
              <w:sz w:val="16"/>
              <w:szCs w:val="16"/>
            </w:rPr>
          </w:pPr>
          <w:r w:rsidRPr="003924AC">
            <w:rPr>
              <w:rStyle w:val="Numrodepage"/>
              <w:color w:val="A778AE" w:themeColor="accent2"/>
              <w:sz w:val="16"/>
              <w:szCs w:val="16"/>
            </w:rPr>
            <w:fldChar w:fldCharType="begin"/>
          </w:r>
          <w:r w:rsidRPr="003924AC">
            <w:rPr>
              <w:rStyle w:val="Numrodepage"/>
              <w:color w:val="A778AE" w:themeColor="accent2"/>
              <w:sz w:val="16"/>
              <w:szCs w:val="16"/>
            </w:rPr>
            <w:instrText xml:space="preserve"> PAGE </w:instrText>
          </w:r>
          <w:r w:rsidRPr="003924AC">
            <w:rPr>
              <w:rStyle w:val="Numrodepage"/>
              <w:color w:val="A778AE" w:themeColor="accent2"/>
              <w:sz w:val="16"/>
              <w:szCs w:val="16"/>
            </w:rPr>
            <w:fldChar w:fldCharType="separate"/>
          </w:r>
          <w:r w:rsidR="000E7E26">
            <w:rPr>
              <w:rStyle w:val="Numrodepage"/>
              <w:noProof/>
              <w:color w:val="A778AE" w:themeColor="accent2"/>
              <w:sz w:val="16"/>
              <w:szCs w:val="16"/>
            </w:rPr>
            <w:t>1</w:t>
          </w:r>
          <w:r w:rsidRPr="003924AC">
            <w:rPr>
              <w:rStyle w:val="Numrodepage"/>
              <w:color w:val="A778AE" w:themeColor="accent2"/>
              <w:sz w:val="16"/>
              <w:szCs w:val="16"/>
            </w:rPr>
            <w:fldChar w:fldCharType="end"/>
          </w:r>
          <w:r w:rsidRPr="003924AC">
            <w:rPr>
              <w:rStyle w:val="Numrodepage"/>
              <w:color w:val="581D74"/>
              <w:sz w:val="16"/>
              <w:szCs w:val="16"/>
            </w:rPr>
            <w:t>|</w:t>
          </w:r>
          <w:r w:rsidRPr="003924AC">
            <w:rPr>
              <w:rStyle w:val="Numrodepage"/>
              <w:color w:val="581D74"/>
              <w:sz w:val="16"/>
              <w:szCs w:val="16"/>
            </w:rPr>
            <w:fldChar w:fldCharType="begin"/>
          </w:r>
          <w:r w:rsidRPr="003924AC">
            <w:rPr>
              <w:rStyle w:val="Numrodepage"/>
              <w:color w:val="581D74"/>
              <w:sz w:val="16"/>
              <w:szCs w:val="16"/>
            </w:rPr>
            <w:instrText xml:space="preserve"> NUMPAGES </w:instrText>
          </w:r>
          <w:r w:rsidRPr="003924AC">
            <w:rPr>
              <w:rStyle w:val="Numrodepage"/>
              <w:color w:val="581D74"/>
              <w:sz w:val="16"/>
              <w:szCs w:val="16"/>
            </w:rPr>
            <w:fldChar w:fldCharType="separate"/>
          </w:r>
          <w:r w:rsidR="000E7E26">
            <w:rPr>
              <w:rStyle w:val="Numrodepage"/>
              <w:noProof/>
              <w:color w:val="581D74"/>
              <w:sz w:val="16"/>
              <w:szCs w:val="16"/>
            </w:rPr>
            <w:t>13</w:t>
          </w:r>
          <w:r w:rsidRPr="003924AC">
            <w:rPr>
              <w:rStyle w:val="Numrodepage"/>
              <w:color w:val="581D74"/>
              <w:sz w:val="16"/>
              <w:szCs w:val="16"/>
            </w:rPr>
            <w:fldChar w:fldCharType="end"/>
          </w:r>
          <w:r w:rsidRPr="003924AC">
            <w:rPr>
              <w:rStyle w:val="Numrodepage"/>
              <w:color w:val="581D74"/>
              <w:sz w:val="16"/>
              <w:szCs w:val="16"/>
            </w:rPr>
            <w:t xml:space="preserve"> </w:t>
          </w:r>
        </w:p>
      </w:tc>
    </w:tr>
  </w:tbl>
  <w:p w:rsidR="006D42E9" w:rsidRPr="008E7554" w:rsidRDefault="006D42E9" w:rsidP="008E7554">
    <w:pPr>
      <w:pStyle w:val="Pieddepage"/>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2E9" w:rsidRDefault="006D42E9">
      <w:r>
        <w:separator/>
      </w:r>
    </w:p>
  </w:footnote>
  <w:footnote w:type="continuationSeparator" w:id="0">
    <w:p w:rsidR="006D42E9" w:rsidRDefault="006D42E9">
      <w:r>
        <w:continuationSeparator/>
      </w:r>
    </w:p>
  </w:footnote>
  <w:footnote w:id="1">
    <w:p w:rsidR="006D42E9" w:rsidRPr="00BB78F4" w:rsidRDefault="006D42E9" w:rsidP="00391739">
      <w:pPr>
        <w:pStyle w:val="Notedebasdepage"/>
        <w:ind w:left="112" w:hanging="112"/>
        <w:rPr>
          <w:szCs w:val="14"/>
        </w:rPr>
      </w:pPr>
      <w:r w:rsidRPr="00453D34">
        <w:rPr>
          <w:rStyle w:val="Appelnotedebasdep"/>
          <w:szCs w:val="14"/>
        </w:rPr>
        <w:footnoteRef/>
      </w:r>
      <w:r w:rsidRPr="00453D34">
        <w:rPr>
          <w:szCs w:val="14"/>
        </w:rPr>
        <w:t xml:space="preserve"> T1-2014 pro forma (se reporter à la note méthodologique à la fin de ce communiqué de presse), sauf mention contraire toutes les variations sont exprimées par rapport au 31/03/2014</w:t>
      </w:r>
    </w:p>
  </w:footnote>
  <w:footnote w:id="2">
    <w:p w:rsidR="006D42E9" w:rsidRDefault="006D42E9" w:rsidP="00391739">
      <w:pPr>
        <w:pStyle w:val="Notedebasdepage"/>
        <w:ind w:left="112" w:hanging="112"/>
      </w:pPr>
      <w:r>
        <w:rPr>
          <w:rStyle w:val="Appelnotedebasdep"/>
        </w:rPr>
        <w:footnoteRef/>
      </w:r>
      <w:r>
        <w:t xml:space="preserve"> Métiers cœurs : Banque commerciale et Assurance, Banque de Grande Clientèle, Epargne, et Services Financiers Spécialisés </w:t>
      </w:r>
    </w:p>
  </w:footnote>
  <w:footnote w:id="3">
    <w:p w:rsidR="006D42E9" w:rsidRDefault="006D42E9" w:rsidP="00391739">
      <w:pPr>
        <w:pStyle w:val="Notedebasdepage"/>
        <w:ind w:left="112" w:hanging="112"/>
      </w:pPr>
      <w:r>
        <w:rPr>
          <w:rStyle w:val="Appelnotedebasdep"/>
        </w:rPr>
        <w:footnoteRef/>
      </w:r>
      <w:r>
        <w:t xml:space="preserve"> Hors éléments exceptionnels (voir tableau page 3)</w:t>
      </w:r>
    </w:p>
  </w:footnote>
  <w:footnote w:id="4">
    <w:p w:rsidR="006D42E9" w:rsidRPr="005A55B7" w:rsidRDefault="006D42E9" w:rsidP="00391739">
      <w:pPr>
        <w:pStyle w:val="Notedebasdepage"/>
        <w:ind w:left="112" w:hanging="112"/>
      </w:pPr>
      <w:r>
        <w:rPr>
          <w:rStyle w:val="Appelnotedebasdep"/>
        </w:rPr>
        <w:footnoteRef/>
      </w:r>
      <w:r>
        <w:t xml:space="preserve"> </w:t>
      </w:r>
      <w:r w:rsidRPr="005A55B7">
        <w:t>Estimation au 31/03/2015 – CRR/CRD4 sans mesures transitoires</w:t>
      </w:r>
      <w:r>
        <w:t xml:space="preserve"> après retraitement des impôts différés actifs sur pertes reportables</w:t>
      </w:r>
    </w:p>
  </w:footnote>
  <w:footnote w:id="5">
    <w:p w:rsidR="006D42E9" w:rsidRPr="005A55B7" w:rsidRDefault="006D42E9" w:rsidP="00391739">
      <w:pPr>
        <w:pStyle w:val="Notedebasdepage"/>
        <w:ind w:left="112" w:hanging="112"/>
      </w:pPr>
      <w:r w:rsidRPr="005A55B7">
        <w:rPr>
          <w:rStyle w:val="Appelnotedebasdep"/>
        </w:rPr>
        <w:footnoteRef/>
      </w:r>
      <w:r w:rsidRPr="005A55B7">
        <w:t xml:space="preserve"> Estimation au 31/</w:t>
      </w:r>
      <w:r>
        <w:t>03/2015</w:t>
      </w:r>
      <w:r w:rsidRPr="005A55B7">
        <w:t xml:space="preserve"> selon les règles de l’Acte délégué publié par la Commission Européenne le 10 octobre 2014 – sans</w:t>
      </w:r>
      <w:r>
        <w:t xml:space="preserve"> mesures transitoires CRR/CRD 4 après retraitement des impôts différés actifs sur pertes reportables</w:t>
      </w:r>
    </w:p>
  </w:footnote>
  <w:footnote w:id="6">
    <w:p w:rsidR="006D42E9" w:rsidRPr="002B3D74" w:rsidRDefault="006D42E9" w:rsidP="00391739">
      <w:pPr>
        <w:pStyle w:val="Notedebasdepage"/>
        <w:ind w:left="112" w:hanging="112"/>
        <w:rPr>
          <w:color w:val="FF0000"/>
        </w:rPr>
      </w:pPr>
      <w:r w:rsidRPr="005A55B7">
        <w:rPr>
          <w:rStyle w:val="Appelnotedebasdep"/>
        </w:rPr>
        <w:footnoteRef/>
      </w:r>
      <w:r w:rsidRPr="005A55B7">
        <w:t xml:space="preserve"> Hors SCF (Compagnie de Financement Foncier, société de crédit foncier du groupe)</w:t>
      </w:r>
    </w:p>
  </w:footnote>
  <w:footnote w:id="7">
    <w:p w:rsidR="006D42E9" w:rsidRDefault="006D42E9">
      <w:pPr>
        <w:pStyle w:val="Notedebasdepage"/>
      </w:pPr>
      <w:r>
        <w:rPr>
          <w:rStyle w:val="Appelnotedebasdep"/>
        </w:rPr>
        <w:footnoteRef/>
      </w:r>
      <w:r>
        <w:t xml:space="preserve"> Hors éléments exceptionnels</w:t>
      </w:r>
    </w:p>
  </w:footnote>
  <w:footnote w:id="8">
    <w:p w:rsidR="006D42E9" w:rsidRDefault="006D42E9" w:rsidP="005547E2">
      <w:pPr>
        <w:pStyle w:val="Notedebasdepage"/>
        <w:ind w:left="168" w:hanging="168"/>
      </w:pPr>
      <w:r>
        <w:rPr>
          <w:rStyle w:val="Appelnotedebasdep"/>
        </w:rPr>
        <w:footnoteRef/>
      </w:r>
      <w:r>
        <w:t xml:space="preserve"> </w:t>
      </w:r>
      <w:r>
        <w:tab/>
      </w:r>
      <w:r w:rsidRPr="00FF0891">
        <w:t>CRR/CRD 4, sans mesures transitoires après retraitement des impôts différés actifs</w:t>
      </w:r>
      <w:r>
        <w:t xml:space="preserve"> sur pertes reportables</w:t>
      </w:r>
    </w:p>
  </w:footnote>
  <w:footnote w:id="9">
    <w:p w:rsidR="006D42E9" w:rsidRDefault="006D42E9" w:rsidP="005547E2">
      <w:pPr>
        <w:pStyle w:val="Notedebasdepage"/>
        <w:ind w:left="168" w:hanging="168"/>
      </w:pPr>
      <w:r w:rsidRPr="00453D34">
        <w:rPr>
          <w:rStyle w:val="Appelnotedebasdep"/>
        </w:rPr>
        <w:footnoteRef/>
      </w:r>
      <w:r w:rsidRPr="00453D34">
        <w:t xml:space="preserve"> </w:t>
      </w:r>
      <w:r w:rsidRPr="00453D34">
        <w:tab/>
        <w:t>Mise en réserve du résultat tenant compte de la distribution prévisionnelle</w:t>
      </w:r>
    </w:p>
  </w:footnote>
  <w:footnote w:id="10">
    <w:p w:rsidR="006D42E9" w:rsidRDefault="006D42E9" w:rsidP="005547E2">
      <w:pPr>
        <w:pStyle w:val="Notedebasdepage"/>
        <w:ind w:left="168" w:hanging="168"/>
      </w:pPr>
      <w:r>
        <w:rPr>
          <w:rStyle w:val="Appelnotedebasdep"/>
        </w:rPr>
        <w:footnoteRef/>
      </w:r>
      <w:r>
        <w:t xml:space="preserve"> </w:t>
      </w:r>
      <w:r w:rsidRPr="008814E1">
        <w:t>Réserves nettes de retraitements prudentiels</w:t>
      </w:r>
    </w:p>
  </w:footnote>
  <w:footnote w:id="11">
    <w:p w:rsidR="006D42E9" w:rsidRDefault="006D42E9" w:rsidP="005547E2">
      <w:pPr>
        <w:pStyle w:val="Notedebasdepage"/>
        <w:ind w:left="168" w:hanging="168"/>
      </w:pPr>
      <w:r>
        <w:rPr>
          <w:rStyle w:val="Appelnotedebasdep"/>
        </w:rPr>
        <w:footnoteRef/>
      </w:r>
      <w:r>
        <w:t xml:space="preserve"> Estimation au 31/03/2015 selon les règles de l’Acte délégué publié par la Commission européenne le 10/10/2014 – sans mesures transitoires CRR/CRD 4 après retraitement des impôts différés actifs sur pertes reportables</w:t>
      </w:r>
    </w:p>
  </w:footnote>
  <w:footnote w:id="12">
    <w:p w:rsidR="006D42E9" w:rsidRDefault="006D42E9" w:rsidP="005547E2">
      <w:pPr>
        <w:pStyle w:val="Notedebasdepage"/>
        <w:ind w:left="168" w:hanging="168"/>
      </w:pPr>
      <w:r>
        <w:rPr>
          <w:rStyle w:val="Appelnotedebasdep"/>
        </w:rPr>
        <w:footnoteRef/>
      </w:r>
      <w:r>
        <w:t xml:space="preserve"> </w:t>
      </w:r>
      <w:r w:rsidRPr="00791077">
        <w:t>Hors SCF (Compagnie de Financement Foncier, société de crédit foncier du groupe)</w:t>
      </w:r>
    </w:p>
  </w:footnote>
  <w:footnote w:id="13">
    <w:p w:rsidR="006D42E9" w:rsidRDefault="006D42E9" w:rsidP="005547E2">
      <w:pPr>
        <w:pStyle w:val="Notedebasdepage"/>
        <w:ind w:left="168" w:hanging="168"/>
      </w:pPr>
      <w:r>
        <w:rPr>
          <w:rStyle w:val="Appelnotedebasdep"/>
        </w:rPr>
        <w:footnoteRef/>
      </w:r>
      <w:r>
        <w:t xml:space="preserve"> </w:t>
      </w:r>
      <w:r w:rsidRPr="00791077">
        <w:t>Selon l’interprétation par le Groupe BPCE des dernières normes Bâle 3 connues</w:t>
      </w:r>
    </w:p>
  </w:footnote>
  <w:footnote w:id="14">
    <w:p w:rsidR="006D42E9" w:rsidRPr="002B3D74" w:rsidRDefault="006D42E9" w:rsidP="005547E2">
      <w:pPr>
        <w:pStyle w:val="Notedebasdepage"/>
        <w:ind w:left="168" w:hanging="168"/>
        <w:rPr>
          <w:color w:val="FF0000"/>
        </w:rPr>
      </w:pPr>
      <w:r w:rsidRPr="00453D34">
        <w:rPr>
          <w:rStyle w:val="Appelnotedebasdep"/>
        </w:rPr>
        <w:footnoteRef/>
      </w:r>
      <w:r w:rsidRPr="00453D34">
        <w:t xml:space="preserve"> </w:t>
      </w:r>
      <w:r w:rsidRPr="00453D34">
        <w:rPr>
          <w:szCs w:val="14"/>
        </w:rPr>
        <w:t>T1-2014 pro forma (se reporter à la note méthodologique à la fin de ce communiqué de presse), sauf mention contraire toutes les variations sont exprimées par rapport au 31/03/2014</w:t>
      </w:r>
    </w:p>
  </w:footnote>
  <w:footnote w:id="15">
    <w:p w:rsidR="006D42E9" w:rsidRPr="002B3D74" w:rsidRDefault="006D42E9" w:rsidP="005547E2">
      <w:pPr>
        <w:pStyle w:val="Notedebasdepage"/>
        <w:ind w:left="168" w:hanging="168"/>
        <w:rPr>
          <w:color w:val="FF0000"/>
        </w:rPr>
      </w:pPr>
      <w:r w:rsidRPr="00F66236">
        <w:rPr>
          <w:rStyle w:val="Appelnotedebasdep"/>
        </w:rPr>
        <w:footnoteRef/>
      </w:r>
      <w:r w:rsidRPr="00F66236">
        <w:t xml:space="preserve"> Hors épargne centralisée</w:t>
      </w:r>
    </w:p>
  </w:footnote>
  <w:footnote w:id="16">
    <w:p w:rsidR="006D42E9" w:rsidRPr="002C2E30" w:rsidRDefault="006D42E9" w:rsidP="005547E2">
      <w:pPr>
        <w:pStyle w:val="Notedebasdepage"/>
        <w:ind w:left="168" w:hanging="168"/>
      </w:pPr>
      <w:r w:rsidRPr="002C2E30">
        <w:rPr>
          <w:rStyle w:val="Appelnotedebasdep"/>
        </w:rPr>
        <w:footnoteRef/>
      </w:r>
      <w:r w:rsidRPr="002C2E30">
        <w:t xml:space="preserve"> Hors variation de la provision épargne logement</w:t>
      </w:r>
    </w:p>
  </w:footnote>
  <w:footnote w:id="17">
    <w:p w:rsidR="006D42E9" w:rsidRDefault="006D42E9" w:rsidP="005547E2">
      <w:pPr>
        <w:pStyle w:val="Notedebasdepage"/>
        <w:ind w:left="154" w:hanging="154"/>
      </w:pPr>
      <w:r>
        <w:rPr>
          <w:rStyle w:val="Appelnotedebasdep"/>
        </w:rPr>
        <w:footnoteRef/>
      </w:r>
      <w:r>
        <w:t xml:space="preserve"> Retraité de l’impact IFRIC 21</w:t>
      </w:r>
    </w:p>
  </w:footnote>
  <w:footnote w:id="18">
    <w:p w:rsidR="006D42E9" w:rsidRDefault="006D42E9" w:rsidP="005547E2">
      <w:pPr>
        <w:pStyle w:val="Notedebasdepage"/>
        <w:ind w:left="154" w:hanging="154"/>
      </w:pPr>
      <w:r>
        <w:rPr>
          <w:rStyle w:val="Appelnotedebasdep"/>
        </w:rPr>
        <w:footnoteRef/>
      </w:r>
      <w:r>
        <w:tab/>
        <w:t>Variation exprimée sur la base d’encours pro forma, faisant suite aux évolutions de périmètre de consolidation du Groupe Crédit Coopératif consécutives à l’application des normes IFRS 10 et IFRS 11</w:t>
      </w:r>
    </w:p>
  </w:footnote>
  <w:footnote w:id="19">
    <w:p w:rsidR="006D42E9" w:rsidRDefault="006D42E9">
      <w:pPr>
        <w:pStyle w:val="Notedebasdepage"/>
      </w:pPr>
      <w:r>
        <w:rPr>
          <w:rStyle w:val="Appelnotedebasdep"/>
        </w:rPr>
        <w:footnoteRef/>
      </w:r>
      <w:r>
        <w:t xml:space="preserve"> </w:t>
      </w:r>
      <w:r w:rsidRPr="00453D34">
        <w:t xml:space="preserve">Provision de 142 M€ sur </w:t>
      </w:r>
      <w:proofErr w:type="spellStart"/>
      <w:r w:rsidRPr="00453D34">
        <w:t>Heta</w:t>
      </w:r>
      <w:proofErr w:type="spellEnd"/>
      <w:r w:rsidRPr="00453D34">
        <w:t xml:space="preserve"> </w:t>
      </w:r>
      <w:proofErr w:type="spellStart"/>
      <w:r w:rsidRPr="00453D34">
        <w:t>Asset</w:t>
      </w:r>
      <w:proofErr w:type="spellEnd"/>
      <w:r w:rsidRPr="00453D34">
        <w:t xml:space="preserve"> </w:t>
      </w:r>
      <w:proofErr w:type="spellStart"/>
      <w:r w:rsidRPr="00453D34">
        <w:t>Resolution</w:t>
      </w:r>
      <w:proofErr w:type="spellEnd"/>
      <w:r w:rsidRPr="00453D34">
        <w:t xml:space="preserve"> AG affectée en Hors Métiers s’agissant d’un des actifs internationaux en gestion extinctive du Crédit Foncier</w:t>
      </w:r>
    </w:p>
  </w:footnote>
  <w:footnote w:id="20">
    <w:p w:rsidR="006D42E9" w:rsidRDefault="006D42E9">
      <w:pPr>
        <w:pStyle w:val="Notedebasdepage"/>
      </w:pPr>
      <w:r>
        <w:rPr>
          <w:rStyle w:val="Appelnotedebasdep"/>
        </w:rPr>
        <w:footnoteRef/>
      </w:r>
      <w:r>
        <w:t xml:space="preserve"> </w:t>
      </w:r>
      <w:r w:rsidRPr="00014DE5">
        <w:t>Encours de fin mars 2015 pour les crédits et encours moyens de mars 2015 pour l’épargne</w:t>
      </w:r>
    </w:p>
  </w:footnote>
  <w:footnote w:id="21">
    <w:p w:rsidR="006D42E9" w:rsidRPr="00B06F74" w:rsidRDefault="006D42E9" w:rsidP="001659A3">
      <w:pPr>
        <w:pStyle w:val="Notedebasdepage"/>
        <w:ind w:left="154" w:hanging="154"/>
        <w:rPr>
          <w:color w:val="000000" w:themeColor="text1"/>
        </w:rPr>
      </w:pPr>
      <w:r w:rsidRPr="00B06F74">
        <w:rPr>
          <w:rStyle w:val="Appelnotedebasdep"/>
          <w:color w:val="000000" w:themeColor="text1"/>
        </w:rPr>
        <w:footnoteRef/>
      </w:r>
      <w:r w:rsidRPr="00B06F74">
        <w:rPr>
          <w:color w:val="000000" w:themeColor="text1"/>
        </w:rPr>
        <w:t xml:space="preserve"> Les résultats contributifs au Groupe BPCE sont différents de ceux publiés par Natixis</w:t>
      </w:r>
    </w:p>
  </w:footnote>
  <w:footnote w:id="22">
    <w:p w:rsidR="006D42E9" w:rsidRPr="002B3D74" w:rsidRDefault="006D42E9" w:rsidP="001659A3">
      <w:pPr>
        <w:pStyle w:val="Notedebasdepage"/>
        <w:ind w:left="154" w:hanging="154"/>
        <w:rPr>
          <w:color w:val="FF0000"/>
        </w:rPr>
      </w:pPr>
      <w:r w:rsidRPr="00453D34">
        <w:rPr>
          <w:rStyle w:val="Appelnotedebasdep"/>
          <w:color w:val="000000" w:themeColor="text1"/>
        </w:rPr>
        <w:footnoteRef/>
      </w:r>
      <w:r w:rsidRPr="00453D34">
        <w:rPr>
          <w:color w:val="000000" w:themeColor="text1"/>
        </w:rPr>
        <w:t xml:space="preserve"> </w:t>
      </w:r>
      <w:r w:rsidRPr="00453D34">
        <w:rPr>
          <w:szCs w:val="14"/>
        </w:rPr>
        <w:t>T1-2014 pro forma (se reporter à la note méthodologique à la fin de ce communiqué de presse), sauf mention contraire toutes les variations sont exprimées par rapport au 31/03/2014</w:t>
      </w:r>
    </w:p>
  </w:footnote>
  <w:footnote w:id="23">
    <w:p w:rsidR="006D42E9" w:rsidRDefault="006D42E9" w:rsidP="001659A3">
      <w:pPr>
        <w:pStyle w:val="Notedebasdepage"/>
        <w:ind w:left="154" w:hanging="154"/>
      </w:pPr>
      <w:r>
        <w:rPr>
          <w:rStyle w:val="Appelnotedebasdep"/>
        </w:rPr>
        <w:footnoteRef/>
      </w:r>
      <w:r>
        <w:t xml:space="preserve"> Hors impact de l’IFRIC 21</w:t>
      </w:r>
    </w:p>
  </w:footnote>
  <w:footnote w:id="24">
    <w:p w:rsidR="006D42E9" w:rsidRPr="00CC244B" w:rsidRDefault="006D42E9" w:rsidP="004B5B12">
      <w:pPr>
        <w:pStyle w:val="Notedebasdepage"/>
      </w:pPr>
      <w:r w:rsidRPr="00CC244B">
        <w:rPr>
          <w:rStyle w:val="Appelnotedebasdep"/>
        </w:rPr>
        <w:footnoteRef/>
      </w:r>
      <w:r w:rsidRPr="00CC244B">
        <w:t xml:space="preserve"> Périmètre et change constants</w:t>
      </w:r>
    </w:p>
  </w:footnote>
  <w:footnote w:id="25">
    <w:p w:rsidR="006D42E9" w:rsidRPr="00CC244B" w:rsidRDefault="006D42E9" w:rsidP="004B5B12">
      <w:pPr>
        <w:pStyle w:val="Notedebasdepage"/>
      </w:pPr>
      <w:r w:rsidRPr="00CC244B">
        <w:rPr>
          <w:rStyle w:val="Appelnotedebasdep"/>
        </w:rPr>
        <w:footnoteRef/>
      </w:r>
      <w:r w:rsidRPr="00CC244B">
        <w:t xml:space="preserve"> Périmètre et change constants, hors éléments exceptionnels</w:t>
      </w:r>
    </w:p>
  </w:footnote>
  <w:footnote w:id="26">
    <w:p w:rsidR="006D42E9" w:rsidRPr="002B3D74" w:rsidRDefault="006D42E9">
      <w:pPr>
        <w:pStyle w:val="Notedebasdepage"/>
        <w:rPr>
          <w:color w:val="FF0000"/>
        </w:rPr>
      </w:pPr>
      <w:r w:rsidRPr="00A25990">
        <w:rPr>
          <w:rStyle w:val="Appelnotedebasdep"/>
        </w:rPr>
        <w:footnoteRef/>
      </w:r>
      <w:r w:rsidRPr="00A25990">
        <w:t xml:space="preserve"> Données financières issues du </w:t>
      </w:r>
      <w:proofErr w:type="spellStart"/>
      <w:r w:rsidRPr="00A25990">
        <w:t>reporting</w:t>
      </w:r>
      <w:proofErr w:type="spellEnd"/>
      <w:r w:rsidRPr="00A25990">
        <w:t xml:space="preserve"> opérationnel de Nexity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2E9" w:rsidRDefault="006D42E9" w:rsidP="0027625E">
    <w:pPr>
      <w:pStyle w:val="En-tte"/>
      <w:tabs>
        <w:tab w:val="clear" w:pos="4536"/>
        <w:tab w:val="clear" w:pos="9072"/>
      </w:tabs>
    </w:pPr>
    <w:r>
      <w:rPr>
        <w:noProof/>
      </w:rPr>
      <w:drawing>
        <wp:inline distT="0" distB="0" distL="0" distR="0" wp14:anchorId="209AE075" wp14:editId="70A1A5F1">
          <wp:extent cx="1428750" cy="171450"/>
          <wp:effectExtent l="0" t="0" r="0"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171450"/>
                  </a:xfrm>
                  <a:prstGeom prst="rect">
                    <a:avLst/>
                  </a:prstGeom>
                  <a:noFill/>
                  <a:ln>
                    <a:noFill/>
                  </a:ln>
                </pic:spPr>
              </pic:pic>
            </a:graphicData>
          </a:graphic>
        </wp:inline>
      </w:drawing>
    </w:r>
  </w:p>
  <w:p w:rsidR="006D42E9" w:rsidRDefault="006D42E9" w:rsidP="0027625E">
    <w:pPr>
      <w:pStyle w:val="En-tte"/>
      <w:tabs>
        <w:tab w:val="clear" w:pos="4536"/>
        <w:tab w:val="clear" w:pos="9072"/>
      </w:tabs>
    </w:pPr>
  </w:p>
  <w:p w:rsidR="006D42E9" w:rsidRDefault="006D42E9" w:rsidP="0027625E">
    <w:pPr>
      <w:pStyle w:val="En-tte"/>
      <w:tabs>
        <w:tab w:val="clear" w:pos="4536"/>
        <w:tab w:val="clear"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2E9" w:rsidRDefault="006D42E9" w:rsidP="00601E7B">
    <w:pPr>
      <w:pStyle w:val="En-tte"/>
      <w:tabs>
        <w:tab w:val="clear" w:pos="4536"/>
        <w:tab w:val="clear" w:pos="9072"/>
      </w:tabs>
    </w:pPr>
    <w:r>
      <w:rPr>
        <w:noProof/>
      </w:rPr>
      <w:drawing>
        <wp:inline distT="0" distB="0" distL="0" distR="0" wp14:anchorId="39104FAF" wp14:editId="41CDCF8E">
          <wp:extent cx="3600450" cy="600075"/>
          <wp:effectExtent l="0" t="0" r="0" b="9525"/>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0" cy="600075"/>
                  </a:xfrm>
                  <a:prstGeom prst="rect">
                    <a:avLst/>
                  </a:prstGeom>
                  <a:noFill/>
                  <a:ln>
                    <a:noFill/>
                  </a:ln>
                </pic:spPr>
              </pic:pic>
            </a:graphicData>
          </a:graphic>
        </wp:inline>
      </w:drawing>
    </w:r>
  </w:p>
  <w:p w:rsidR="006D42E9" w:rsidRDefault="006D42E9" w:rsidP="00601E7B">
    <w:pPr>
      <w:pStyle w:val="En-tte"/>
      <w:tabs>
        <w:tab w:val="clear" w:pos="4536"/>
        <w:tab w:val="clear" w:pos="9072"/>
      </w:tabs>
    </w:pPr>
  </w:p>
  <w:p w:rsidR="006D42E9" w:rsidRDefault="006D42E9" w:rsidP="00601E7B">
    <w:pPr>
      <w:pStyle w:val="En-tte"/>
      <w:tabs>
        <w:tab w:val="clear" w:pos="4536"/>
        <w:tab w:val="clear" w:pos="9072"/>
      </w:tabs>
    </w:pPr>
  </w:p>
  <w:p w:rsidR="006D42E9" w:rsidRDefault="006D42E9" w:rsidP="00601E7B">
    <w:pPr>
      <w:pStyle w:val="En-tte"/>
      <w:tabs>
        <w:tab w:val="clear" w:pos="4536"/>
        <w:tab w:val="clear" w:pos="9072"/>
      </w:tabs>
    </w:pPr>
  </w:p>
  <w:p w:rsidR="006D42E9" w:rsidRDefault="006D42E9" w:rsidP="00601E7B">
    <w:pPr>
      <w:pStyle w:val="En-tte"/>
      <w:tabs>
        <w:tab w:val="clear" w:pos="4536"/>
        <w:tab w:val="clear" w:pos="9072"/>
      </w:tabs>
    </w:pPr>
  </w:p>
  <w:p w:rsidR="006D42E9" w:rsidRDefault="006D42E9" w:rsidP="00601E7B">
    <w:pPr>
      <w:pStyle w:val="En-tte"/>
      <w:tabs>
        <w:tab w:val="clear" w:pos="4536"/>
        <w:tab w:val="clear" w:pos="9072"/>
      </w:tabs>
    </w:pPr>
  </w:p>
  <w:p w:rsidR="006D42E9" w:rsidRDefault="006D42E9" w:rsidP="00BC204B">
    <w:pPr>
      <w:pStyle w:val="En-tte"/>
      <w:tabs>
        <w:tab w:val="clear" w:pos="4536"/>
        <w:tab w:val="clear" w:pos="9072"/>
      </w:tabs>
      <w:jc w:val="right"/>
    </w:pPr>
    <w:r>
      <w:rPr>
        <w:noProof/>
      </w:rPr>
      <w:drawing>
        <wp:anchor distT="0" distB="0" distL="114300" distR="114300" simplePos="0" relativeHeight="251658240" behindDoc="0" locked="0" layoutInCell="1" allowOverlap="1" wp14:anchorId="0FA05268" wp14:editId="14860EC4">
          <wp:simplePos x="0" y="0"/>
          <wp:positionH relativeFrom="column">
            <wp:posOffset>2331720</wp:posOffset>
          </wp:positionH>
          <wp:positionV relativeFrom="paragraph">
            <wp:posOffset>-1270</wp:posOffset>
          </wp:positionV>
          <wp:extent cx="3787140" cy="353060"/>
          <wp:effectExtent l="0" t="0" r="3810" b="8890"/>
          <wp:wrapNone/>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87140" cy="3530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D42E9" w:rsidRDefault="006D42E9" w:rsidP="00601E7B">
    <w:pPr>
      <w:pStyle w:val="En-tte"/>
      <w:tabs>
        <w:tab w:val="clear" w:pos="4536"/>
        <w:tab w:val="clear" w:pos="9072"/>
      </w:tabs>
    </w:pPr>
  </w:p>
  <w:p w:rsidR="006D42E9" w:rsidRDefault="006D42E9" w:rsidP="00601E7B">
    <w:pPr>
      <w:pStyle w:val="En-tte"/>
      <w:tabs>
        <w:tab w:val="clear" w:pos="4536"/>
        <w:tab w:val="clear"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82CD430"/>
    <w:lvl w:ilvl="0">
      <w:start w:val="1"/>
      <w:numFmt w:val="decimal"/>
      <w:lvlText w:val="%1."/>
      <w:lvlJc w:val="left"/>
      <w:pPr>
        <w:tabs>
          <w:tab w:val="num" w:pos="643"/>
        </w:tabs>
        <w:ind w:left="643" w:hanging="360"/>
      </w:pPr>
    </w:lvl>
  </w:abstractNum>
  <w:abstractNum w:abstractNumId="1">
    <w:nsid w:val="FFFFFF88"/>
    <w:multiLevelType w:val="singleLevel"/>
    <w:tmpl w:val="8982E77E"/>
    <w:lvl w:ilvl="0">
      <w:start w:val="1"/>
      <w:numFmt w:val="decimal"/>
      <w:lvlText w:val="%1."/>
      <w:lvlJc w:val="left"/>
      <w:pPr>
        <w:tabs>
          <w:tab w:val="num" w:pos="360"/>
        </w:tabs>
        <w:ind w:left="360" w:hanging="360"/>
      </w:pPr>
    </w:lvl>
  </w:abstractNum>
  <w:abstractNum w:abstractNumId="2">
    <w:nsid w:val="FFFFFF89"/>
    <w:multiLevelType w:val="singleLevel"/>
    <w:tmpl w:val="BE00B104"/>
    <w:lvl w:ilvl="0">
      <w:start w:val="1"/>
      <w:numFmt w:val="bullet"/>
      <w:lvlText w:val="•"/>
      <w:lvlJc w:val="left"/>
      <w:pPr>
        <w:ind w:left="360" w:hanging="360"/>
      </w:pPr>
      <w:rPr>
        <w:rFonts w:ascii="Cambria" w:hAnsi="Cambria" w:hint="default"/>
        <w:color w:val="581D74"/>
      </w:rPr>
    </w:lvl>
  </w:abstractNum>
  <w:abstractNum w:abstractNumId="3">
    <w:nsid w:val="039C2B2B"/>
    <w:multiLevelType w:val="hybridMultilevel"/>
    <w:tmpl w:val="3FBC9CC2"/>
    <w:lvl w:ilvl="0" w:tplc="F4C82148">
      <w:start w:val="10"/>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7DA7272"/>
    <w:multiLevelType w:val="hybridMultilevel"/>
    <w:tmpl w:val="6BBEAF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AE17AF6"/>
    <w:multiLevelType w:val="hybridMultilevel"/>
    <w:tmpl w:val="38FC7F30"/>
    <w:lvl w:ilvl="0" w:tplc="02D26DE4">
      <w:start w:val="10"/>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7CA1CE9"/>
    <w:multiLevelType w:val="hybridMultilevel"/>
    <w:tmpl w:val="19229884"/>
    <w:lvl w:ilvl="0" w:tplc="BEAA15C8">
      <w:start w:val="10"/>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FE52710"/>
    <w:multiLevelType w:val="hybridMultilevel"/>
    <w:tmpl w:val="FAEE08EE"/>
    <w:lvl w:ilvl="0" w:tplc="040C0001">
      <w:start w:val="1"/>
      <w:numFmt w:val="bullet"/>
      <w:lvlText w:val=""/>
      <w:lvlJc w:val="left"/>
      <w:pPr>
        <w:ind w:left="720" w:hanging="360"/>
      </w:pPr>
      <w:rPr>
        <w:rFonts w:ascii="Symbol" w:hAnsi="Symbol" w:hint="default"/>
      </w:rPr>
    </w:lvl>
    <w:lvl w:ilvl="1" w:tplc="408A834E">
      <w:start w:val="1"/>
      <w:numFmt w:val="bullet"/>
      <w:lvlText w:val="4"/>
      <w:lvlJc w:val="left"/>
      <w:pPr>
        <w:ind w:left="1440" w:hanging="360"/>
      </w:pPr>
      <w:rPr>
        <w:rFonts w:ascii="Webdings" w:hAnsi="Webdings" w:hint="default"/>
        <w:color w:val="F47920" w:themeColor="accent3"/>
      </w:rPr>
    </w:lvl>
    <w:lvl w:ilvl="2" w:tplc="BDBECD8C">
      <w:start w:val="1"/>
      <w:numFmt w:val="bullet"/>
      <w:lvlText w:val=""/>
      <w:lvlJc w:val="left"/>
      <w:pPr>
        <w:ind w:left="2160" w:hanging="360"/>
      </w:pPr>
      <w:rPr>
        <w:rFonts w:ascii="Wingdings" w:hAnsi="Wingdings" w:hint="default"/>
        <w:color w:val="A778AE" w:themeColor="accent2"/>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53B6904"/>
    <w:multiLevelType w:val="hybridMultilevel"/>
    <w:tmpl w:val="8E90CE40"/>
    <w:lvl w:ilvl="0" w:tplc="408A834E">
      <w:start w:val="1"/>
      <w:numFmt w:val="bullet"/>
      <w:pStyle w:val="6-LISTEPUCE"/>
      <w:lvlText w:val="4"/>
      <w:lvlJc w:val="left"/>
      <w:pPr>
        <w:ind w:left="720" w:hanging="360"/>
      </w:pPr>
      <w:rPr>
        <w:rFonts w:ascii="Webdings" w:hAnsi="Webdings" w:hint="default"/>
        <w:color w:val="F47920" w:themeColor="accent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67F6A45"/>
    <w:multiLevelType w:val="multilevel"/>
    <w:tmpl w:val="F5266618"/>
    <w:lvl w:ilvl="0">
      <w:start w:val="1"/>
      <w:numFmt w:val="decimal"/>
      <w:pStyle w:val="Listenumros"/>
      <w:lvlText w:val="%1."/>
      <w:lvlJc w:val="left"/>
      <w:pPr>
        <w:ind w:left="360" w:hanging="360"/>
      </w:pPr>
      <w:rPr>
        <w:rFonts w:hint="default"/>
        <w:b/>
        <w:color w:val="581D74"/>
      </w:rPr>
    </w:lvl>
    <w:lvl w:ilvl="1">
      <w:start w:val="1"/>
      <w:numFmt w:val="decimal"/>
      <w:pStyle w:val="Listenumros2"/>
      <w:lvlText w:val="%2."/>
      <w:lvlJc w:val="left"/>
      <w:pPr>
        <w:ind w:left="936" w:hanging="576"/>
      </w:pPr>
      <w:rPr>
        <w:rFonts w:hint="default"/>
        <w:b/>
        <w:color w:val="F47920"/>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3083CF0"/>
    <w:multiLevelType w:val="hybridMultilevel"/>
    <w:tmpl w:val="093C95BA"/>
    <w:lvl w:ilvl="0" w:tplc="408A834E">
      <w:start w:val="1"/>
      <w:numFmt w:val="bullet"/>
      <w:lvlText w:val="4"/>
      <w:lvlJc w:val="left"/>
      <w:pPr>
        <w:ind w:left="720" w:hanging="360"/>
      </w:pPr>
      <w:rPr>
        <w:rFonts w:ascii="Webdings" w:hAnsi="Webdings" w:hint="default"/>
        <w:color w:val="F47920" w:themeColor="accent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7D3089B"/>
    <w:multiLevelType w:val="hybridMultilevel"/>
    <w:tmpl w:val="0010BB0C"/>
    <w:lvl w:ilvl="0" w:tplc="9702A978">
      <w:start w:val="10"/>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4276D41"/>
    <w:multiLevelType w:val="hybridMultilevel"/>
    <w:tmpl w:val="15941572"/>
    <w:lvl w:ilvl="0" w:tplc="C9E4CAE4">
      <w:start w:val="10"/>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B9D0C58"/>
    <w:multiLevelType w:val="hybridMultilevel"/>
    <w:tmpl w:val="28440C52"/>
    <w:lvl w:ilvl="0" w:tplc="1348FA82">
      <w:start w:val="1"/>
      <w:numFmt w:val="bullet"/>
      <w:pStyle w:val="3-Titre3"/>
      <w:lvlText w:val=""/>
      <w:lvlJc w:val="left"/>
      <w:pPr>
        <w:ind w:left="720" w:hanging="360"/>
      </w:pPr>
      <w:rPr>
        <w:rFonts w:ascii="Symbol" w:hAnsi="Symbol" w:hint="default"/>
        <w:color w:val="581D74"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9"/>
  </w:num>
  <w:num w:numId="5">
    <w:abstractNumId w:val="0"/>
  </w:num>
  <w:num w:numId="6">
    <w:abstractNumId w:val="9"/>
  </w:num>
  <w:num w:numId="7">
    <w:abstractNumId w:val="8"/>
  </w:num>
  <w:num w:numId="8">
    <w:abstractNumId w:val="9"/>
  </w:num>
  <w:num w:numId="9">
    <w:abstractNumId w:val="9"/>
  </w:num>
  <w:num w:numId="10">
    <w:abstractNumId w:val="8"/>
  </w:num>
  <w:num w:numId="11">
    <w:abstractNumId w:val="7"/>
  </w:num>
  <w:num w:numId="12">
    <w:abstractNumId w:val="13"/>
  </w:num>
  <w:num w:numId="13">
    <w:abstractNumId w:val="12"/>
  </w:num>
  <w:num w:numId="14">
    <w:abstractNumId w:val="3"/>
  </w:num>
  <w:num w:numId="15">
    <w:abstractNumId w:val="5"/>
  </w:num>
  <w:num w:numId="16">
    <w:abstractNumId w:val="11"/>
  </w:num>
  <w:num w:numId="17">
    <w:abstractNumId w:val="6"/>
  </w:num>
  <w:num w:numId="18">
    <w:abstractNumId w:val="1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30721">
      <o:colormru v:ext="edit" colors="#581d74,#e9dddd,#e7d5e7,#a678ae,#c5b5b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572"/>
    <w:rsid w:val="00002024"/>
    <w:rsid w:val="0000231B"/>
    <w:rsid w:val="00002993"/>
    <w:rsid w:val="000031BB"/>
    <w:rsid w:val="00010138"/>
    <w:rsid w:val="00013367"/>
    <w:rsid w:val="00014DA1"/>
    <w:rsid w:val="00014DE5"/>
    <w:rsid w:val="0002116A"/>
    <w:rsid w:val="00023FE3"/>
    <w:rsid w:val="00024A4F"/>
    <w:rsid w:val="00026276"/>
    <w:rsid w:val="00033CA9"/>
    <w:rsid w:val="000374CB"/>
    <w:rsid w:val="0004237C"/>
    <w:rsid w:val="0004360D"/>
    <w:rsid w:val="00044661"/>
    <w:rsid w:val="00044B44"/>
    <w:rsid w:val="00046924"/>
    <w:rsid w:val="00047827"/>
    <w:rsid w:val="00053F84"/>
    <w:rsid w:val="00054E0B"/>
    <w:rsid w:val="000624A9"/>
    <w:rsid w:val="00064FC3"/>
    <w:rsid w:val="00072173"/>
    <w:rsid w:val="00074BBE"/>
    <w:rsid w:val="00075135"/>
    <w:rsid w:val="000767C8"/>
    <w:rsid w:val="00077ED8"/>
    <w:rsid w:val="00081723"/>
    <w:rsid w:val="00081D5C"/>
    <w:rsid w:val="00085982"/>
    <w:rsid w:val="00087ABC"/>
    <w:rsid w:val="000901A2"/>
    <w:rsid w:val="00091745"/>
    <w:rsid w:val="00092064"/>
    <w:rsid w:val="00092244"/>
    <w:rsid w:val="000933FD"/>
    <w:rsid w:val="0009419E"/>
    <w:rsid w:val="00095714"/>
    <w:rsid w:val="00095CF7"/>
    <w:rsid w:val="00097BAF"/>
    <w:rsid w:val="000A0838"/>
    <w:rsid w:val="000A1619"/>
    <w:rsid w:val="000A4BB1"/>
    <w:rsid w:val="000B2846"/>
    <w:rsid w:val="000B5F73"/>
    <w:rsid w:val="000B69E9"/>
    <w:rsid w:val="000B739A"/>
    <w:rsid w:val="000C441D"/>
    <w:rsid w:val="000C530B"/>
    <w:rsid w:val="000D583E"/>
    <w:rsid w:val="000E1EDF"/>
    <w:rsid w:val="000E2F9E"/>
    <w:rsid w:val="000E7E26"/>
    <w:rsid w:val="000F4FB7"/>
    <w:rsid w:val="000F5F78"/>
    <w:rsid w:val="000F7595"/>
    <w:rsid w:val="00100D2B"/>
    <w:rsid w:val="00101595"/>
    <w:rsid w:val="00105F42"/>
    <w:rsid w:val="001063B2"/>
    <w:rsid w:val="0011138C"/>
    <w:rsid w:val="00111393"/>
    <w:rsid w:val="001124DB"/>
    <w:rsid w:val="00117FD9"/>
    <w:rsid w:val="00122372"/>
    <w:rsid w:val="00133468"/>
    <w:rsid w:val="0014072C"/>
    <w:rsid w:val="00140952"/>
    <w:rsid w:val="00141DBB"/>
    <w:rsid w:val="001433F9"/>
    <w:rsid w:val="0014371F"/>
    <w:rsid w:val="0015136C"/>
    <w:rsid w:val="00152315"/>
    <w:rsid w:val="0015269E"/>
    <w:rsid w:val="00152AA1"/>
    <w:rsid w:val="001538AF"/>
    <w:rsid w:val="00156301"/>
    <w:rsid w:val="00156A63"/>
    <w:rsid w:val="001659A3"/>
    <w:rsid w:val="00166CFB"/>
    <w:rsid w:val="001718AB"/>
    <w:rsid w:val="001743F4"/>
    <w:rsid w:val="00177E46"/>
    <w:rsid w:val="0018223D"/>
    <w:rsid w:val="0018475E"/>
    <w:rsid w:val="00186B2A"/>
    <w:rsid w:val="00187352"/>
    <w:rsid w:val="00187F83"/>
    <w:rsid w:val="001933C4"/>
    <w:rsid w:val="001952A5"/>
    <w:rsid w:val="001A104E"/>
    <w:rsid w:val="001A3509"/>
    <w:rsid w:val="001A460E"/>
    <w:rsid w:val="001B3026"/>
    <w:rsid w:val="001B3A6E"/>
    <w:rsid w:val="001B3B09"/>
    <w:rsid w:val="001B6DFE"/>
    <w:rsid w:val="001B709A"/>
    <w:rsid w:val="001C14EE"/>
    <w:rsid w:val="001C1547"/>
    <w:rsid w:val="001C300C"/>
    <w:rsid w:val="001C412F"/>
    <w:rsid w:val="001C4A4A"/>
    <w:rsid w:val="001D0F46"/>
    <w:rsid w:val="001D4313"/>
    <w:rsid w:val="001E282D"/>
    <w:rsid w:val="001E3E42"/>
    <w:rsid w:val="001F0A11"/>
    <w:rsid w:val="001F16E2"/>
    <w:rsid w:val="001F19C8"/>
    <w:rsid w:val="001F4519"/>
    <w:rsid w:val="001F51B1"/>
    <w:rsid w:val="001F5EFA"/>
    <w:rsid w:val="00201BB3"/>
    <w:rsid w:val="00201CD1"/>
    <w:rsid w:val="00203435"/>
    <w:rsid w:val="0020405F"/>
    <w:rsid w:val="00205600"/>
    <w:rsid w:val="00207C8E"/>
    <w:rsid w:val="0021191F"/>
    <w:rsid w:val="002152AC"/>
    <w:rsid w:val="002251D3"/>
    <w:rsid w:val="00226C19"/>
    <w:rsid w:val="0022778A"/>
    <w:rsid w:val="00244A4C"/>
    <w:rsid w:val="0024634D"/>
    <w:rsid w:val="0024649C"/>
    <w:rsid w:val="002472D9"/>
    <w:rsid w:val="0025084D"/>
    <w:rsid w:val="002546D5"/>
    <w:rsid w:val="00260A6F"/>
    <w:rsid w:val="00261633"/>
    <w:rsid w:val="00264FE8"/>
    <w:rsid w:val="002673A4"/>
    <w:rsid w:val="00267B80"/>
    <w:rsid w:val="00272914"/>
    <w:rsid w:val="002748D8"/>
    <w:rsid w:val="00275832"/>
    <w:rsid w:val="0027625E"/>
    <w:rsid w:val="00282C7E"/>
    <w:rsid w:val="0028617B"/>
    <w:rsid w:val="0029300E"/>
    <w:rsid w:val="002A49F1"/>
    <w:rsid w:val="002A51F9"/>
    <w:rsid w:val="002A5EFD"/>
    <w:rsid w:val="002A6A0B"/>
    <w:rsid w:val="002A7D55"/>
    <w:rsid w:val="002B17E4"/>
    <w:rsid w:val="002B2219"/>
    <w:rsid w:val="002B3D74"/>
    <w:rsid w:val="002B4EDE"/>
    <w:rsid w:val="002B606E"/>
    <w:rsid w:val="002C0F06"/>
    <w:rsid w:val="002C11D6"/>
    <w:rsid w:val="002C2EA6"/>
    <w:rsid w:val="002C43B3"/>
    <w:rsid w:val="002D0C20"/>
    <w:rsid w:val="002D2C4B"/>
    <w:rsid w:val="002D5FBF"/>
    <w:rsid w:val="002E07A9"/>
    <w:rsid w:val="002E142E"/>
    <w:rsid w:val="002E38AC"/>
    <w:rsid w:val="002E53DC"/>
    <w:rsid w:val="002F09C5"/>
    <w:rsid w:val="002F1D93"/>
    <w:rsid w:val="002F22C9"/>
    <w:rsid w:val="002F23FF"/>
    <w:rsid w:val="002F3AB4"/>
    <w:rsid w:val="002F71FF"/>
    <w:rsid w:val="002F7853"/>
    <w:rsid w:val="00304969"/>
    <w:rsid w:val="003055AC"/>
    <w:rsid w:val="00307FB3"/>
    <w:rsid w:val="0031103F"/>
    <w:rsid w:val="003175A2"/>
    <w:rsid w:val="00317EDB"/>
    <w:rsid w:val="0032017C"/>
    <w:rsid w:val="003216C1"/>
    <w:rsid w:val="0032205F"/>
    <w:rsid w:val="003243B7"/>
    <w:rsid w:val="003248C2"/>
    <w:rsid w:val="00324FFE"/>
    <w:rsid w:val="00334795"/>
    <w:rsid w:val="0033682E"/>
    <w:rsid w:val="00342AE5"/>
    <w:rsid w:val="00342CA2"/>
    <w:rsid w:val="00347B0B"/>
    <w:rsid w:val="00350DEB"/>
    <w:rsid w:val="00351417"/>
    <w:rsid w:val="003526DE"/>
    <w:rsid w:val="003540B1"/>
    <w:rsid w:val="00354663"/>
    <w:rsid w:val="00355BC8"/>
    <w:rsid w:val="00361318"/>
    <w:rsid w:val="003656E3"/>
    <w:rsid w:val="00365B98"/>
    <w:rsid w:val="003663A5"/>
    <w:rsid w:val="00366BF3"/>
    <w:rsid w:val="0036765D"/>
    <w:rsid w:val="00375BEC"/>
    <w:rsid w:val="00384CB0"/>
    <w:rsid w:val="00386D87"/>
    <w:rsid w:val="003875EB"/>
    <w:rsid w:val="00387A9D"/>
    <w:rsid w:val="00391739"/>
    <w:rsid w:val="003924AC"/>
    <w:rsid w:val="003A2000"/>
    <w:rsid w:val="003A2972"/>
    <w:rsid w:val="003A2CB2"/>
    <w:rsid w:val="003A39F2"/>
    <w:rsid w:val="003A4476"/>
    <w:rsid w:val="003B1668"/>
    <w:rsid w:val="003C1127"/>
    <w:rsid w:val="003C2DEB"/>
    <w:rsid w:val="003C4770"/>
    <w:rsid w:val="003C6574"/>
    <w:rsid w:val="003C6CD3"/>
    <w:rsid w:val="003C78A7"/>
    <w:rsid w:val="003D0388"/>
    <w:rsid w:val="003D53DC"/>
    <w:rsid w:val="003D55FA"/>
    <w:rsid w:val="003D684B"/>
    <w:rsid w:val="003E17E2"/>
    <w:rsid w:val="003E2885"/>
    <w:rsid w:val="003E4CF1"/>
    <w:rsid w:val="003F27B4"/>
    <w:rsid w:val="003F5682"/>
    <w:rsid w:val="003F6938"/>
    <w:rsid w:val="00400560"/>
    <w:rsid w:val="00400B40"/>
    <w:rsid w:val="00402AE8"/>
    <w:rsid w:val="00404A0E"/>
    <w:rsid w:val="00405D7A"/>
    <w:rsid w:val="00407A4E"/>
    <w:rsid w:val="0041271C"/>
    <w:rsid w:val="00414156"/>
    <w:rsid w:val="004176FB"/>
    <w:rsid w:val="00425E88"/>
    <w:rsid w:val="0042606E"/>
    <w:rsid w:val="0043153C"/>
    <w:rsid w:val="00434454"/>
    <w:rsid w:val="004366C9"/>
    <w:rsid w:val="00444E1F"/>
    <w:rsid w:val="00445133"/>
    <w:rsid w:val="00445A67"/>
    <w:rsid w:val="00446BF6"/>
    <w:rsid w:val="00453D34"/>
    <w:rsid w:val="00460A89"/>
    <w:rsid w:val="004623A5"/>
    <w:rsid w:val="0046727C"/>
    <w:rsid w:val="00470A06"/>
    <w:rsid w:val="00471D08"/>
    <w:rsid w:val="004726BB"/>
    <w:rsid w:val="00477008"/>
    <w:rsid w:val="00477C20"/>
    <w:rsid w:val="00491E5A"/>
    <w:rsid w:val="00492622"/>
    <w:rsid w:val="00492A31"/>
    <w:rsid w:val="00496384"/>
    <w:rsid w:val="00497F57"/>
    <w:rsid w:val="004A2D13"/>
    <w:rsid w:val="004A3D85"/>
    <w:rsid w:val="004A7508"/>
    <w:rsid w:val="004B0A0A"/>
    <w:rsid w:val="004B4B04"/>
    <w:rsid w:val="004B5B12"/>
    <w:rsid w:val="004C57CF"/>
    <w:rsid w:val="004C6046"/>
    <w:rsid w:val="004D305F"/>
    <w:rsid w:val="004D3F3B"/>
    <w:rsid w:val="004D498D"/>
    <w:rsid w:val="004E0261"/>
    <w:rsid w:val="004E1C5B"/>
    <w:rsid w:val="004E3EE3"/>
    <w:rsid w:val="004E47DE"/>
    <w:rsid w:val="004E7435"/>
    <w:rsid w:val="004F44A8"/>
    <w:rsid w:val="004F4AB8"/>
    <w:rsid w:val="004F4C1E"/>
    <w:rsid w:val="004F4E97"/>
    <w:rsid w:val="004F5110"/>
    <w:rsid w:val="00507B5C"/>
    <w:rsid w:val="00511CF3"/>
    <w:rsid w:val="00514B6F"/>
    <w:rsid w:val="0051630E"/>
    <w:rsid w:val="00516E42"/>
    <w:rsid w:val="00525B14"/>
    <w:rsid w:val="00526ABF"/>
    <w:rsid w:val="00532992"/>
    <w:rsid w:val="0053386B"/>
    <w:rsid w:val="005422A8"/>
    <w:rsid w:val="00543B3A"/>
    <w:rsid w:val="00546166"/>
    <w:rsid w:val="0055224F"/>
    <w:rsid w:val="005533E3"/>
    <w:rsid w:val="005547E2"/>
    <w:rsid w:val="005550D7"/>
    <w:rsid w:val="00555C3C"/>
    <w:rsid w:val="005639D9"/>
    <w:rsid w:val="00572D78"/>
    <w:rsid w:val="00574FB1"/>
    <w:rsid w:val="005763AC"/>
    <w:rsid w:val="00585A01"/>
    <w:rsid w:val="00585F1A"/>
    <w:rsid w:val="00587311"/>
    <w:rsid w:val="00587755"/>
    <w:rsid w:val="0059103C"/>
    <w:rsid w:val="00595CCC"/>
    <w:rsid w:val="00596CEB"/>
    <w:rsid w:val="005975A7"/>
    <w:rsid w:val="005A0C4D"/>
    <w:rsid w:val="005A29AD"/>
    <w:rsid w:val="005A2A97"/>
    <w:rsid w:val="005A2EE1"/>
    <w:rsid w:val="005A390E"/>
    <w:rsid w:val="005A460B"/>
    <w:rsid w:val="005A4EA6"/>
    <w:rsid w:val="005A55B7"/>
    <w:rsid w:val="005A5890"/>
    <w:rsid w:val="005A7E6F"/>
    <w:rsid w:val="005B2219"/>
    <w:rsid w:val="005C04BB"/>
    <w:rsid w:val="005C0F26"/>
    <w:rsid w:val="005C3F8A"/>
    <w:rsid w:val="005C6077"/>
    <w:rsid w:val="005C61A8"/>
    <w:rsid w:val="005D063B"/>
    <w:rsid w:val="005D181C"/>
    <w:rsid w:val="005D3557"/>
    <w:rsid w:val="005D51CC"/>
    <w:rsid w:val="005E1E5E"/>
    <w:rsid w:val="005E67E6"/>
    <w:rsid w:val="005E77F3"/>
    <w:rsid w:val="005F22CA"/>
    <w:rsid w:val="005F7448"/>
    <w:rsid w:val="00601E7B"/>
    <w:rsid w:val="00602E64"/>
    <w:rsid w:val="006060A1"/>
    <w:rsid w:val="00610F9D"/>
    <w:rsid w:val="00616808"/>
    <w:rsid w:val="006170E8"/>
    <w:rsid w:val="00622412"/>
    <w:rsid w:val="006344DA"/>
    <w:rsid w:val="006364BE"/>
    <w:rsid w:val="00636C7E"/>
    <w:rsid w:val="0063738C"/>
    <w:rsid w:val="00640674"/>
    <w:rsid w:val="00642089"/>
    <w:rsid w:val="0064622C"/>
    <w:rsid w:val="0065290A"/>
    <w:rsid w:val="00666E0F"/>
    <w:rsid w:val="006672DE"/>
    <w:rsid w:val="00667FBB"/>
    <w:rsid w:val="00671907"/>
    <w:rsid w:val="00671FC1"/>
    <w:rsid w:val="006727D7"/>
    <w:rsid w:val="00676461"/>
    <w:rsid w:val="0068238E"/>
    <w:rsid w:val="00690870"/>
    <w:rsid w:val="0069247C"/>
    <w:rsid w:val="0069467E"/>
    <w:rsid w:val="0069486C"/>
    <w:rsid w:val="00694968"/>
    <w:rsid w:val="0069633C"/>
    <w:rsid w:val="00696668"/>
    <w:rsid w:val="006A0CB7"/>
    <w:rsid w:val="006A27E4"/>
    <w:rsid w:val="006A3A1A"/>
    <w:rsid w:val="006A3AC6"/>
    <w:rsid w:val="006A6B0B"/>
    <w:rsid w:val="006A6B70"/>
    <w:rsid w:val="006A7F51"/>
    <w:rsid w:val="006B2D1A"/>
    <w:rsid w:val="006B4510"/>
    <w:rsid w:val="006B4F9D"/>
    <w:rsid w:val="006B66E2"/>
    <w:rsid w:val="006B7E7B"/>
    <w:rsid w:val="006C12FD"/>
    <w:rsid w:val="006C1830"/>
    <w:rsid w:val="006C2FAE"/>
    <w:rsid w:val="006C3F71"/>
    <w:rsid w:val="006C6BF8"/>
    <w:rsid w:val="006D1A95"/>
    <w:rsid w:val="006D2017"/>
    <w:rsid w:val="006D3934"/>
    <w:rsid w:val="006D42E9"/>
    <w:rsid w:val="006D54A9"/>
    <w:rsid w:val="006E3737"/>
    <w:rsid w:val="006E5EA4"/>
    <w:rsid w:val="006F0382"/>
    <w:rsid w:val="006F4353"/>
    <w:rsid w:val="007108CA"/>
    <w:rsid w:val="00712CDC"/>
    <w:rsid w:val="007131EA"/>
    <w:rsid w:val="0071665F"/>
    <w:rsid w:val="00716BC4"/>
    <w:rsid w:val="0071789F"/>
    <w:rsid w:val="0073114C"/>
    <w:rsid w:val="00740510"/>
    <w:rsid w:val="00741B39"/>
    <w:rsid w:val="00742F70"/>
    <w:rsid w:val="007442EC"/>
    <w:rsid w:val="00745EA3"/>
    <w:rsid w:val="00751937"/>
    <w:rsid w:val="0075196D"/>
    <w:rsid w:val="007568ED"/>
    <w:rsid w:val="007577B6"/>
    <w:rsid w:val="00757D6A"/>
    <w:rsid w:val="00760001"/>
    <w:rsid w:val="007611AA"/>
    <w:rsid w:val="00761630"/>
    <w:rsid w:val="0078111C"/>
    <w:rsid w:val="007855BE"/>
    <w:rsid w:val="00786556"/>
    <w:rsid w:val="007870EA"/>
    <w:rsid w:val="00791077"/>
    <w:rsid w:val="007930DE"/>
    <w:rsid w:val="00795BED"/>
    <w:rsid w:val="00796209"/>
    <w:rsid w:val="00796599"/>
    <w:rsid w:val="007A39D6"/>
    <w:rsid w:val="007A60E2"/>
    <w:rsid w:val="007A6AE1"/>
    <w:rsid w:val="007B44F8"/>
    <w:rsid w:val="007B6B17"/>
    <w:rsid w:val="007B7732"/>
    <w:rsid w:val="007B7D80"/>
    <w:rsid w:val="007C13F6"/>
    <w:rsid w:val="007C2FE1"/>
    <w:rsid w:val="007C32E2"/>
    <w:rsid w:val="007C41A6"/>
    <w:rsid w:val="007C6401"/>
    <w:rsid w:val="007C7452"/>
    <w:rsid w:val="007C7DB2"/>
    <w:rsid w:val="007D54C9"/>
    <w:rsid w:val="007D62F6"/>
    <w:rsid w:val="007E5512"/>
    <w:rsid w:val="007F1391"/>
    <w:rsid w:val="007F27C6"/>
    <w:rsid w:val="007F2F39"/>
    <w:rsid w:val="007F3561"/>
    <w:rsid w:val="007F5E7C"/>
    <w:rsid w:val="007F7973"/>
    <w:rsid w:val="007F7F50"/>
    <w:rsid w:val="00800B24"/>
    <w:rsid w:val="0080214E"/>
    <w:rsid w:val="00802170"/>
    <w:rsid w:val="00802C42"/>
    <w:rsid w:val="008075E1"/>
    <w:rsid w:val="00811737"/>
    <w:rsid w:val="00811ECB"/>
    <w:rsid w:val="00813947"/>
    <w:rsid w:val="008152C2"/>
    <w:rsid w:val="008167D8"/>
    <w:rsid w:val="0081746A"/>
    <w:rsid w:val="00817A07"/>
    <w:rsid w:val="00822F89"/>
    <w:rsid w:val="00832EC7"/>
    <w:rsid w:val="00833736"/>
    <w:rsid w:val="00833C56"/>
    <w:rsid w:val="0083451C"/>
    <w:rsid w:val="00835D32"/>
    <w:rsid w:val="00844EB5"/>
    <w:rsid w:val="0084722C"/>
    <w:rsid w:val="008504AD"/>
    <w:rsid w:val="00863298"/>
    <w:rsid w:val="00864888"/>
    <w:rsid w:val="008657A2"/>
    <w:rsid w:val="00865A8B"/>
    <w:rsid w:val="00867F9F"/>
    <w:rsid w:val="00870B86"/>
    <w:rsid w:val="00872ED6"/>
    <w:rsid w:val="00876776"/>
    <w:rsid w:val="008814E1"/>
    <w:rsid w:val="00882754"/>
    <w:rsid w:val="0088442A"/>
    <w:rsid w:val="00885F86"/>
    <w:rsid w:val="0089420C"/>
    <w:rsid w:val="008A2C87"/>
    <w:rsid w:val="008A368C"/>
    <w:rsid w:val="008A3BA7"/>
    <w:rsid w:val="008A484E"/>
    <w:rsid w:val="008C30DA"/>
    <w:rsid w:val="008D3BAA"/>
    <w:rsid w:val="008D5F3A"/>
    <w:rsid w:val="008E079A"/>
    <w:rsid w:val="008E2B05"/>
    <w:rsid w:val="008E4C55"/>
    <w:rsid w:val="008E5835"/>
    <w:rsid w:val="008E6EFD"/>
    <w:rsid w:val="008E7554"/>
    <w:rsid w:val="008E7752"/>
    <w:rsid w:val="008E7A5C"/>
    <w:rsid w:val="008F1489"/>
    <w:rsid w:val="008F1B9D"/>
    <w:rsid w:val="008F2EEB"/>
    <w:rsid w:val="008F30AB"/>
    <w:rsid w:val="008F4EE7"/>
    <w:rsid w:val="008F6F1C"/>
    <w:rsid w:val="008F7BC6"/>
    <w:rsid w:val="00900747"/>
    <w:rsid w:val="0092055D"/>
    <w:rsid w:val="00922675"/>
    <w:rsid w:val="00936871"/>
    <w:rsid w:val="0094412C"/>
    <w:rsid w:val="009446BF"/>
    <w:rsid w:val="00945A8F"/>
    <w:rsid w:val="0095120F"/>
    <w:rsid w:val="00953BBF"/>
    <w:rsid w:val="00957A33"/>
    <w:rsid w:val="00960100"/>
    <w:rsid w:val="00964470"/>
    <w:rsid w:val="00964E51"/>
    <w:rsid w:val="0096653C"/>
    <w:rsid w:val="00974B5E"/>
    <w:rsid w:val="00975425"/>
    <w:rsid w:val="009867C3"/>
    <w:rsid w:val="0098687C"/>
    <w:rsid w:val="009945FC"/>
    <w:rsid w:val="009A6320"/>
    <w:rsid w:val="009B43FC"/>
    <w:rsid w:val="009B53D9"/>
    <w:rsid w:val="009C3D92"/>
    <w:rsid w:val="009C4DE5"/>
    <w:rsid w:val="009C55FC"/>
    <w:rsid w:val="009D6E08"/>
    <w:rsid w:val="009E2971"/>
    <w:rsid w:val="009E3E01"/>
    <w:rsid w:val="009E59C4"/>
    <w:rsid w:val="009E5FCF"/>
    <w:rsid w:val="009F2FAE"/>
    <w:rsid w:val="009F3AEB"/>
    <w:rsid w:val="009F604E"/>
    <w:rsid w:val="009F7068"/>
    <w:rsid w:val="009F7CF3"/>
    <w:rsid w:val="009F7D88"/>
    <w:rsid w:val="00A01AF2"/>
    <w:rsid w:val="00A01F85"/>
    <w:rsid w:val="00A044FE"/>
    <w:rsid w:val="00A0576D"/>
    <w:rsid w:val="00A078A4"/>
    <w:rsid w:val="00A157B3"/>
    <w:rsid w:val="00A17BCB"/>
    <w:rsid w:val="00A22754"/>
    <w:rsid w:val="00A228C7"/>
    <w:rsid w:val="00A25990"/>
    <w:rsid w:val="00A26CA0"/>
    <w:rsid w:val="00A27C22"/>
    <w:rsid w:val="00A37E45"/>
    <w:rsid w:val="00A417EB"/>
    <w:rsid w:val="00A44394"/>
    <w:rsid w:val="00A45336"/>
    <w:rsid w:val="00A4533D"/>
    <w:rsid w:val="00A53132"/>
    <w:rsid w:val="00A5576F"/>
    <w:rsid w:val="00A55874"/>
    <w:rsid w:val="00A56C96"/>
    <w:rsid w:val="00A57816"/>
    <w:rsid w:val="00A613CC"/>
    <w:rsid w:val="00A64B9F"/>
    <w:rsid w:val="00A65CDE"/>
    <w:rsid w:val="00A71D41"/>
    <w:rsid w:val="00A72198"/>
    <w:rsid w:val="00A746E0"/>
    <w:rsid w:val="00A8043B"/>
    <w:rsid w:val="00A80C42"/>
    <w:rsid w:val="00A80F16"/>
    <w:rsid w:val="00A821DA"/>
    <w:rsid w:val="00A86B55"/>
    <w:rsid w:val="00A905D1"/>
    <w:rsid w:val="00A90C7B"/>
    <w:rsid w:val="00A91BD0"/>
    <w:rsid w:val="00A944EB"/>
    <w:rsid w:val="00A95E16"/>
    <w:rsid w:val="00A969F6"/>
    <w:rsid w:val="00A97BEA"/>
    <w:rsid w:val="00AA0E74"/>
    <w:rsid w:val="00AA12BF"/>
    <w:rsid w:val="00AB03C8"/>
    <w:rsid w:val="00AB1C7B"/>
    <w:rsid w:val="00AB2BEF"/>
    <w:rsid w:val="00AB4EF9"/>
    <w:rsid w:val="00AB54E5"/>
    <w:rsid w:val="00AB5FF0"/>
    <w:rsid w:val="00AC0239"/>
    <w:rsid w:val="00AC080E"/>
    <w:rsid w:val="00AC5FD2"/>
    <w:rsid w:val="00AE270D"/>
    <w:rsid w:val="00AE690F"/>
    <w:rsid w:val="00AE7180"/>
    <w:rsid w:val="00AF69EA"/>
    <w:rsid w:val="00B02EEF"/>
    <w:rsid w:val="00B07DC0"/>
    <w:rsid w:val="00B107F6"/>
    <w:rsid w:val="00B10B1F"/>
    <w:rsid w:val="00B12F13"/>
    <w:rsid w:val="00B17F65"/>
    <w:rsid w:val="00B231F5"/>
    <w:rsid w:val="00B233D8"/>
    <w:rsid w:val="00B26204"/>
    <w:rsid w:val="00B26475"/>
    <w:rsid w:val="00B26B08"/>
    <w:rsid w:val="00B26DF2"/>
    <w:rsid w:val="00B277AF"/>
    <w:rsid w:val="00B32782"/>
    <w:rsid w:val="00B33053"/>
    <w:rsid w:val="00B43380"/>
    <w:rsid w:val="00B44B39"/>
    <w:rsid w:val="00B45E3F"/>
    <w:rsid w:val="00B6000E"/>
    <w:rsid w:val="00B6101A"/>
    <w:rsid w:val="00B61775"/>
    <w:rsid w:val="00B636A2"/>
    <w:rsid w:val="00B724C6"/>
    <w:rsid w:val="00B7388A"/>
    <w:rsid w:val="00B738E6"/>
    <w:rsid w:val="00B73983"/>
    <w:rsid w:val="00B7426C"/>
    <w:rsid w:val="00B74F1A"/>
    <w:rsid w:val="00B77C0A"/>
    <w:rsid w:val="00B82AB7"/>
    <w:rsid w:val="00B84B5D"/>
    <w:rsid w:val="00B87F3A"/>
    <w:rsid w:val="00B92365"/>
    <w:rsid w:val="00B92A1A"/>
    <w:rsid w:val="00B93B77"/>
    <w:rsid w:val="00B94009"/>
    <w:rsid w:val="00B952D3"/>
    <w:rsid w:val="00B96DDC"/>
    <w:rsid w:val="00BA3488"/>
    <w:rsid w:val="00BB28AC"/>
    <w:rsid w:val="00BB3B12"/>
    <w:rsid w:val="00BB4F7D"/>
    <w:rsid w:val="00BB78F4"/>
    <w:rsid w:val="00BC204B"/>
    <w:rsid w:val="00BD2047"/>
    <w:rsid w:val="00BD64D2"/>
    <w:rsid w:val="00BE12DC"/>
    <w:rsid w:val="00BE42FC"/>
    <w:rsid w:val="00BE560F"/>
    <w:rsid w:val="00BF0A5E"/>
    <w:rsid w:val="00BF2039"/>
    <w:rsid w:val="00BF20C0"/>
    <w:rsid w:val="00C0118E"/>
    <w:rsid w:val="00C07451"/>
    <w:rsid w:val="00C1325E"/>
    <w:rsid w:val="00C1362C"/>
    <w:rsid w:val="00C17A07"/>
    <w:rsid w:val="00C26B8A"/>
    <w:rsid w:val="00C3241A"/>
    <w:rsid w:val="00C41783"/>
    <w:rsid w:val="00C45839"/>
    <w:rsid w:val="00C45E3C"/>
    <w:rsid w:val="00C47588"/>
    <w:rsid w:val="00C54261"/>
    <w:rsid w:val="00C61D89"/>
    <w:rsid w:val="00C64B95"/>
    <w:rsid w:val="00C70C81"/>
    <w:rsid w:val="00C70DE9"/>
    <w:rsid w:val="00C72515"/>
    <w:rsid w:val="00C737B6"/>
    <w:rsid w:val="00C74D70"/>
    <w:rsid w:val="00C74ED5"/>
    <w:rsid w:val="00C8607C"/>
    <w:rsid w:val="00C95907"/>
    <w:rsid w:val="00C95CE1"/>
    <w:rsid w:val="00CA4371"/>
    <w:rsid w:val="00CA468B"/>
    <w:rsid w:val="00CC06F0"/>
    <w:rsid w:val="00CC0E7A"/>
    <w:rsid w:val="00CC244B"/>
    <w:rsid w:val="00CC519F"/>
    <w:rsid w:val="00CC647F"/>
    <w:rsid w:val="00CD1D9F"/>
    <w:rsid w:val="00CD5A85"/>
    <w:rsid w:val="00CD5F6B"/>
    <w:rsid w:val="00CE34EA"/>
    <w:rsid w:val="00CE7AB9"/>
    <w:rsid w:val="00CF4DCA"/>
    <w:rsid w:val="00CF6CDA"/>
    <w:rsid w:val="00D02E4F"/>
    <w:rsid w:val="00D07867"/>
    <w:rsid w:val="00D16E2C"/>
    <w:rsid w:val="00D22077"/>
    <w:rsid w:val="00D24CF6"/>
    <w:rsid w:val="00D2644D"/>
    <w:rsid w:val="00D26BE4"/>
    <w:rsid w:val="00D3116F"/>
    <w:rsid w:val="00D32DCA"/>
    <w:rsid w:val="00D3367A"/>
    <w:rsid w:val="00D42596"/>
    <w:rsid w:val="00D457CB"/>
    <w:rsid w:val="00D45C7A"/>
    <w:rsid w:val="00D50AD2"/>
    <w:rsid w:val="00D53FD6"/>
    <w:rsid w:val="00D5605C"/>
    <w:rsid w:val="00D57A30"/>
    <w:rsid w:val="00D6027C"/>
    <w:rsid w:val="00D61CC6"/>
    <w:rsid w:val="00D63BDA"/>
    <w:rsid w:val="00D6493D"/>
    <w:rsid w:val="00D65433"/>
    <w:rsid w:val="00D71485"/>
    <w:rsid w:val="00D74149"/>
    <w:rsid w:val="00D745DC"/>
    <w:rsid w:val="00D752DD"/>
    <w:rsid w:val="00D76899"/>
    <w:rsid w:val="00D76957"/>
    <w:rsid w:val="00D779BD"/>
    <w:rsid w:val="00D819D3"/>
    <w:rsid w:val="00D84BB9"/>
    <w:rsid w:val="00D85EA7"/>
    <w:rsid w:val="00D87088"/>
    <w:rsid w:val="00D90066"/>
    <w:rsid w:val="00D93B2D"/>
    <w:rsid w:val="00D942CA"/>
    <w:rsid w:val="00D95939"/>
    <w:rsid w:val="00DA42DC"/>
    <w:rsid w:val="00DA68D8"/>
    <w:rsid w:val="00DB0027"/>
    <w:rsid w:val="00DB5267"/>
    <w:rsid w:val="00DB5385"/>
    <w:rsid w:val="00DB5BEE"/>
    <w:rsid w:val="00DB7084"/>
    <w:rsid w:val="00DC280C"/>
    <w:rsid w:val="00DC4366"/>
    <w:rsid w:val="00DD0DD6"/>
    <w:rsid w:val="00DD17DD"/>
    <w:rsid w:val="00DD2F31"/>
    <w:rsid w:val="00DD70DD"/>
    <w:rsid w:val="00DE023E"/>
    <w:rsid w:val="00DE4B1F"/>
    <w:rsid w:val="00DE50BF"/>
    <w:rsid w:val="00DF372D"/>
    <w:rsid w:val="00DF6620"/>
    <w:rsid w:val="00DF6D12"/>
    <w:rsid w:val="00E01572"/>
    <w:rsid w:val="00E02D86"/>
    <w:rsid w:val="00E06FDF"/>
    <w:rsid w:val="00E07EE3"/>
    <w:rsid w:val="00E12067"/>
    <w:rsid w:val="00E14DE6"/>
    <w:rsid w:val="00E150C3"/>
    <w:rsid w:val="00E2285D"/>
    <w:rsid w:val="00E302CA"/>
    <w:rsid w:val="00E32975"/>
    <w:rsid w:val="00E356C1"/>
    <w:rsid w:val="00E35886"/>
    <w:rsid w:val="00E40854"/>
    <w:rsid w:val="00E44FC5"/>
    <w:rsid w:val="00E45687"/>
    <w:rsid w:val="00E4642E"/>
    <w:rsid w:val="00E50376"/>
    <w:rsid w:val="00E53F66"/>
    <w:rsid w:val="00E54AB1"/>
    <w:rsid w:val="00E61617"/>
    <w:rsid w:val="00E65B03"/>
    <w:rsid w:val="00E660C9"/>
    <w:rsid w:val="00E701C0"/>
    <w:rsid w:val="00E72D07"/>
    <w:rsid w:val="00E748BA"/>
    <w:rsid w:val="00E75D6C"/>
    <w:rsid w:val="00E81C7F"/>
    <w:rsid w:val="00E85BDB"/>
    <w:rsid w:val="00E9152B"/>
    <w:rsid w:val="00E915FC"/>
    <w:rsid w:val="00E91E88"/>
    <w:rsid w:val="00E937F7"/>
    <w:rsid w:val="00E9521A"/>
    <w:rsid w:val="00EA0780"/>
    <w:rsid w:val="00EA0F85"/>
    <w:rsid w:val="00EA4B0C"/>
    <w:rsid w:val="00EA5800"/>
    <w:rsid w:val="00EB3E99"/>
    <w:rsid w:val="00EB4DB3"/>
    <w:rsid w:val="00EB7680"/>
    <w:rsid w:val="00EC1137"/>
    <w:rsid w:val="00EC4D86"/>
    <w:rsid w:val="00EC5500"/>
    <w:rsid w:val="00EC7529"/>
    <w:rsid w:val="00ED1B0D"/>
    <w:rsid w:val="00ED69B4"/>
    <w:rsid w:val="00EE1DFA"/>
    <w:rsid w:val="00EE3384"/>
    <w:rsid w:val="00EE4339"/>
    <w:rsid w:val="00EE7AFE"/>
    <w:rsid w:val="00EF426F"/>
    <w:rsid w:val="00EF7399"/>
    <w:rsid w:val="00F05685"/>
    <w:rsid w:val="00F075C8"/>
    <w:rsid w:val="00F14A62"/>
    <w:rsid w:val="00F2091F"/>
    <w:rsid w:val="00F304C2"/>
    <w:rsid w:val="00F31127"/>
    <w:rsid w:val="00F31EFD"/>
    <w:rsid w:val="00F4241C"/>
    <w:rsid w:val="00F54B6C"/>
    <w:rsid w:val="00F56027"/>
    <w:rsid w:val="00F5728F"/>
    <w:rsid w:val="00F57CB0"/>
    <w:rsid w:val="00F6054A"/>
    <w:rsid w:val="00F622D3"/>
    <w:rsid w:val="00F739E8"/>
    <w:rsid w:val="00F73C5E"/>
    <w:rsid w:val="00F80459"/>
    <w:rsid w:val="00F9076F"/>
    <w:rsid w:val="00F937E0"/>
    <w:rsid w:val="00F9390A"/>
    <w:rsid w:val="00FA4D13"/>
    <w:rsid w:val="00FB1B89"/>
    <w:rsid w:val="00FB2A38"/>
    <w:rsid w:val="00FB45C2"/>
    <w:rsid w:val="00FB4A02"/>
    <w:rsid w:val="00FB522F"/>
    <w:rsid w:val="00FB5260"/>
    <w:rsid w:val="00FB6E13"/>
    <w:rsid w:val="00FC0219"/>
    <w:rsid w:val="00FC5F4A"/>
    <w:rsid w:val="00FC7EF9"/>
    <w:rsid w:val="00FD62B8"/>
    <w:rsid w:val="00FD6832"/>
    <w:rsid w:val="00FE0624"/>
    <w:rsid w:val="00FE18BA"/>
    <w:rsid w:val="00FE2C4B"/>
    <w:rsid w:val="00FE6DA2"/>
    <w:rsid w:val="00FF0891"/>
    <w:rsid w:val="00FF5DD3"/>
    <w:rsid w:val="00FF6064"/>
    <w:rsid w:val="00FF67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581d74,#e9dddd,#e7d5e7,#a678ae,#c5b5b9"/>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267">
    <w:lsdException w:name="Normal" w:qFormat="1"/>
    <w:lsdException w:name="heading 2" w:semiHidden="1" w:uiPriority="1" w:unhideWhenUsed="1" w:qFormat="1"/>
    <w:lsdException w:name="heading 3" w:semiHidden="1"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List Bullet" w:uiPriority="1"/>
    <w:lsdException w:name="List Number" w:uiPriority="1"/>
    <w:lsdException w:name="List Number 2" w:uiPriority="1"/>
    <w:lsdException w:name="Strong" w:uiPriority="2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E7554"/>
    <w:pPr>
      <w:jc w:val="both"/>
    </w:pPr>
    <w:rPr>
      <w:rFonts w:ascii="Verdana" w:hAnsi="Verdana"/>
      <w:sz w:val="22"/>
      <w:szCs w:val="22"/>
    </w:rPr>
  </w:style>
  <w:style w:type="paragraph" w:styleId="Titre2">
    <w:name w:val="heading 2"/>
    <w:aliases w:val="Titre violet"/>
    <w:basedOn w:val="Normal"/>
    <w:next w:val="Normal"/>
    <w:link w:val="Titre2Car"/>
    <w:uiPriority w:val="1"/>
    <w:semiHidden/>
    <w:unhideWhenUsed/>
    <w:qFormat/>
    <w:rsid w:val="000A0838"/>
    <w:pPr>
      <w:keepNext/>
      <w:keepLines/>
      <w:spacing w:before="360" w:after="60"/>
      <w:jc w:val="left"/>
      <w:outlineLvl w:val="1"/>
    </w:pPr>
    <w:rPr>
      <w:rFonts w:eastAsia="Times New Roman" w:cs="Cordia New"/>
      <w:b/>
      <w:caps/>
      <w:noProof/>
      <w:color w:val="581D74"/>
      <w:kern w:val="20"/>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Titreducommuniqu">
    <w:name w:val="Titre du communiqué"/>
    <w:basedOn w:val="Normal"/>
    <w:rPr>
      <w:color w:val="000000"/>
      <w:sz w:val="36"/>
    </w:rPr>
  </w:style>
  <w:style w:type="paragraph" w:customStyle="1" w:styleId="Dateducommuniqu">
    <w:name w:val="Date du communiqué"/>
    <w:basedOn w:val="Normal"/>
    <w:pPr>
      <w:spacing w:line="300" w:lineRule="atLeast"/>
    </w:pPr>
    <w:rPr>
      <w:color w:val="501964"/>
      <w:sz w:val="28"/>
    </w:rPr>
  </w:style>
  <w:style w:type="paragraph" w:customStyle="1" w:styleId="Titreparagraphe">
    <w:name w:val="Titre paragraphe"/>
    <w:basedOn w:val="Normal"/>
    <w:link w:val="TitreparagrapheCar"/>
    <w:pPr>
      <w:spacing w:before="240"/>
    </w:pPr>
    <w:rPr>
      <w:b/>
      <w:color w:val="501964"/>
    </w:rPr>
  </w:style>
  <w:style w:type="character" w:styleId="Lienhypertexte">
    <w:name w:val="Hyperlink"/>
    <w:rsid w:val="0069247C"/>
    <w:rPr>
      <w:color w:val="581D74" w:themeColor="accent1"/>
      <w:u w:val="single"/>
    </w:rPr>
  </w:style>
  <w:style w:type="character" w:styleId="Numrodepage">
    <w:name w:val="page number"/>
    <w:basedOn w:val="Policepardfaut"/>
    <w:rsid w:val="008A3BA7"/>
  </w:style>
  <w:style w:type="paragraph" w:styleId="Textedebulles">
    <w:name w:val="Balloon Text"/>
    <w:basedOn w:val="Normal"/>
    <w:semiHidden/>
    <w:rsid w:val="00100D2B"/>
    <w:rPr>
      <w:rFonts w:ascii="Tahoma" w:hAnsi="Tahoma" w:cs="Tahoma"/>
      <w:sz w:val="16"/>
      <w:szCs w:val="16"/>
    </w:rPr>
  </w:style>
  <w:style w:type="table" w:styleId="Grilledutableau">
    <w:name w:val="Table Grid"/>
    <w:basedOn w:val="TableauNormal"/>
    <w:rsid w:val="000901A2"/>
    <w:pPr>
      <w:spacing w:line="3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69247C"/>
    <w:rPr>
      <w:color w:val="B0006C" w:themeColor="accent4"/>
      <w:u w:val="single"/>
    </w:rPr>
  </w:style>
  <w:style w:type="paragraph" w:customStyle="1" w:styleId="Titrecommuniqu">
    <w:name w:val="Titre communiqué"/>
    <w:basedOn w:val="Titreparagraphe"/>
    <w:link w:val="TitrecommuniquCar"/>
    <w:rsid w:val="00572D78"/>
    <w:pPr>
      <w:spacing w:before="0"/>
    </w:pPr>
    <w:rPr>
      <w:b w:val="0"/>
      <w:color w:val="auto"/>
      <w:sz w:val="28"/>
      <w:szCs w:val="28"/>
    </w:rPr>
  </w:style>
  <w:style w:type="paragraph" w:customStyle="1" w:styleId="Datecommuniqu">
    <w:name w:val="Date communiqué"/>
    <w:basedOn w:val="Titreparagraphe"/>
    <w:link w:val="DatecommuniquCar"/>
    <w:rsid w:val="00572D78"/>
    <w:pPr>
      <w:spacing w:before="480"/>
    </w:pPr>
    <w:rPr>
      <w:b w:val="0"/>
      <w:color w:val="581D74"/>
    </w:rPr>
  </w:style>
  <w:style w:type="character" w:customStyle="1" w:styleId="TitreparagrapheCar">
    <w:name w:val="Titre paragraphe Car"/>
    <w:link w:val="Titreparagraphe"/>
    <w:rsid w:val="00572D78"/>
    <w:rPr>
      <w:rFonts w:ascii="Verdana" w:hAnsi="Verdana"/>
      <w:b/>
      <w:color w:val="501964"/>
    </w:rPr>
  </w:style>
  <w:style w:type="character" w:customStyle="1" w:styleId="TitrecommuniquCar">
    <w:name w:val="Titre communiqué Car"/>
    <w:link w:val="Titrecommuniqu"/>
    <w:rsid w:val="00572D78"/>
    <w:rPr>
      <w:rFonts w:ascii="Verdana" w:hAnsi="Verdana"/>
      <w:b w:val="0"/>
      <w:color w:val="501964"/>
      <w:sz w:val="28"/>
      <w:szCs w:val="28"/>
    </w:rPr>
  </w:style>
  <w:style w:type="paragraph" w:customStyle="1" w:styleId="chapcommuniqu">
    <w:name w:val="chapô communiqué"/>
    <w:basedOn w:val="Titreparagraphe"/>
    <w:link w:val="chapcommuniquCar"/>
    <w:rsid w:val="00572D78"/>
    <w:rPr>
      <w:color w:val="auto"/>
      <w:sz w:val="18"/>
      <w:szCs w:val="18"/>
    </w:rPr>
  </w:style>
  <w:style w:type="character" w:customStyle="1" w:styleId="DatecommuniquCar">
    <w:name w:val="Date communiqué Car"/>
    <w:link w:val="Datecommuniqu"/>
    <w:rsid w:val="00572D78"/>
    <w:rPr>
      <w:rFonts w:ascii="Verdana" w:hAnsi="Verdana"/>
      <w:b w:val="0"/>
      <w:color w:val="581D74"/>
    </w:rPr>
  </w:style>
  <w:style w:type="paragraph" w:customStyle="1" w:styleId="textecourantcommuniqu">
    <w:name w:val="texte courant communiqué"/>
    <w:basedOn w:val="Normal"/>
    <w:link w:val="textecourantcommuniquCar"/>
    <w:rsid w:val="00572D78"/>
    <w:rPr>
      <w:sz w:val="18"/>
      <w:szCs w:val="18"/>
    </w:rPr>
  </w:style>
  <w:style w:type="character" w:customStyle="1" w:styleId="chapcommuniquCar">
    <w:name w:val="chapô communiqué Car"/>
    <w:link w:val="chapcommuniqu"/>
    <w:rsid w:val="00572D78"/>
    <w:rPr>
      <w:rFonts w:ascii="Verdana" w:hAnsi="Verdana"/>
      <w:b/>
      <w:color w:val="501964"/>
      <w:sz w:val="18"/>
      <w:szCs w:val="18"/>
    </w:rPr>
  </w:style>
  <w:style w:type="paragraph" w:customStyle="1" w:styleId="En-tteombr">
    <w:name w:val="En-tête ombré"/>
    <w:basedOn w:val="Normal"/>
    <w:uiPriority w:val="19"/>
    <w:rsid w:val="000A0838"/>
    <w:pPr>
      <w:pBdr>
        <w:top w:val="single" w:sz="2" w:space="2" w:color="581D74"/>
        <w:left w:val="single" w:sz="2" w:space="6" w:color="581D74"/>
        <w:bottom w:val="single" w:sz="2" w:space="2" w:color="581D74"/>
        <w:right w:val="single" w:sz="2" w:space="6" w:color="581D74"/>
      </w:pBdr>
      <w:shd w:val="clear" w:color="auto" w:fill="581D74"/>
      <w:spacing w:before="40"/>
      <w:ind w:left="-360" w:right="-360"/>
    </w:pPr>
    <w:rPr>
      <w:rFonts w:eastAsia="Times New Roman" w:cs="Cordia New"/>
      <w:caps/>
      <w:noProof/>
      <w:color w:val="FFFFFF"/>
      <w:kern w:val="20"/>
      <w:sz w:val="28"/>
      <w:szCs w:val="28"/>
    </w:rPr>
  </w:style>
  <w:style w:type="character" w:customStyle="1" w:styleId="textecourantcommuniquCar">
    <w:name w:val="texte courant communiqué Car"/>
    <w:link w:val="textecourantcommuniqu"/>
    <w:rsid w:val="00572D78"/>
    <w:rPr>
      <w:rFonts w:ascii="Verdana" w:hAnsi="Verdana"/>
      <w:sz w:val="18"/>
      <w:szCs w:val="18"/>
    </w:rPr>
  </w:style>
  <w:style w:type="paragraph" w:customStyle="1" w:styleId="Titre1">
    <w:name w:val="Titre1"/>
    <w:link w:val="Titre1Car"/>
    <w:rsid w:val="000A0838"/>
    <w:pPr>
      <w:spacing w:after="200" w:line="276" w:lineRule="auto"/>
    </w:pPr>
    <w:rPr>
      <w:rFonts w:ascii="Verdana" w:eastAsia="Times New Roman" w:hAnsi="Verdana"/>
      <w:bCs/>
      <w:color w:val="411556"/>
      <w:sz w:val="36"/>
      <w:szCs w:val="36"/>
    </w:rPr>
  </w:style>
  <w:style w:type="character" w:customStyle="1" w:styleId="Titre1Car">
    <w:name w:val="Titre1 Car"/>
    <w:link w:val="Titre1"/>
    <w:rsid w:val="000A0838"/>
    <w:rPr>
      <w:rFonts w:ascii="Verdana" w:eastAsia="Times New Roman" w:hAnsi="Verdana" w:cs="Times New Roman"/>
      <w:bCs/>
      <w:color w:val="411556"/>
      <w:sz w:val="36"/>
      <w:szCs w:val="36"/>
    </w:rPr>
  </w:style>
  <w:style w:type="paragraph" w:customStyle="1" w:styleId="Italique">
    <w:name w:val="Italique"/>
    <w:basedOn w:val="Normal"/>
    <w:link w:val="ItaliqueCar"/>
    <w:qFormat/>
    <w:rsid w:val="000A0838"/>
    <w:pPr>
      <w:ind w:left="360" w:hanging="360"/>
    </w:pPr>
    <w:rPr>
      <w:rFonts w:eastAsia="Cambria" w:cs="Angsana New"/>
      <w:i/>
      <w:noProof/>
      <w:kern w:val="20"/>
      <w:sz w:val="20"/>
      <w:szCs w:val="20"/>
    </w:rPr>
  </w:style>
  <w:style w:type="character" w:customStyle="1" w:styleId="ItaliqueCar">
    <w:name w:val="Italique Car"/>
    <w:link w:val="Italique"/>
    <w:rsid w:val="000A0838"/>
    <w:rPr>
      <w:rFonts w:ascii="Verdana" w:eastAsia="Cambria" w:hAnsi="Verdana" w:cs="Angsana New"/>
      <w:i/>
      <w:noProof/>
      <w:kern w:val="20"/>
    </w:rPr>
  </w:style>
  <w:style w:type="paragraph" w:customStyle="1" w:styleId="intro">
    <w:name w:val="intro"/>
    <w:basedOn w:val="2-TEXTECOURANTcommuniqu"/>
    <w:link w:val="introCar"/>
    <w:qFormat/>
    <w:rsid w:val="001659A3"/>
    <w:rPr>
      <w:i/>
      <w:color w:val="825D69" w:themeColor="text2"/>
      <w:sz w:val="18"/>
      <w:szCs w:val="18"/>
    </w:rPr>
  </w:style>
  <w:style w:type="paragraph" w:customStyle="1" w:styleId="4-Soustitre">
    <w:name w:val="4-Sous titre"/>
    <w:basedOn w:val="2-TEXTECOURANTcommuniqu"/>
    <w:link w:val="4-SoustitreCar"/>
    <w:qFormat/>
    <w:rsid w:val="008E2B05"/>
    <w:pPr>
      <w:pBdr>
        <w:bottom w:val="single" w:sz="4" w:space="1" w:color="581D74" w:themeColor="accent1"/>
      </w:pBdr>
      <w:spacing w:after="240"/>
    </w:pPr>
    <w:rPr>
      <w:b/>
      <w:color w:val="581D74" w:themeColor="accent1"/>
    </w:rPr>
  </w:style>
  <w:style w:type="paragraph" w:styleId="Notedefin">
    <w:name w:val="endnote text"/>
    <w:basedOn w:val="Normal"/>
    <w:link w:val="NotedefinCar"/>
    <w:rsid w:val="00572D78"/>
    <w:rPr>
      <w:sz w:val="20"/>
      <w:szCs w:val="20"/>
    </w:rPr>
  </w:style>
  <w:style w:type="character" w:customStyle="1" w:styleId="NotedefinCar">
    <w:name w:val="Note de fin Car"/>
    <w:link w:val="Notedefin"/>
    <w:rsid w:val="00572D78"/>
    <w:rPr>
      <w:rFonts w:ascii="Verdana" w:hAnsi="Verdana"/>
      <w:sz w:val="20"/>
      <w:szCs w:val="20"/>
    </w:rPr>
  </w:style>
  <w:style w:type="paragraph" w:customStyle="1" w:styleId="Boldviolet">
    <w:name w:val="Bold violet"/>
    <w:basedOn w:val="2-TEXTECOURANTcommuniqu"/>
    <w:link w:val="BoldvioletCar"/>
    <w:qFormat/>
    <w:rsid w:val="000A0838"/>
    <w:pPr>
      <w:jc w:val="left"/>
    </w:pPr>
    <w:rPr>
      <w:rFonts w:eastAsia="Times New Roman"/>
      <w:b/>
      <w:color w:val="581D74"/>
      <w:szCs w:val="24"/>
    </w:rPr>
  </w:style>
  <w:style w:type="character" w:customStyle="1" w:styleId="BoldvioletCar">
    <w:name w:val="Bold violet Car"/>
    <w:link w:val="Boldviolet"/>
    <w:rsid w:val="000A0838"/>
    <w:rPr>
      <w:rFonts w:ascii="Verdana" w:eastAsia="Times New Roman" w:hAnsi="Verdana"/>
      <w:b/>
      <w:color w:val="581D74"/>
      <w:spacing w:val="-4"/>
      <w:szCs w:val="24"/>
    </w:rPr>
  </w:style>
  <w:style w:type="paragraph" w:customStyle="1" w:styleId="Mentionslgales">
    <w:name w:val="Mentions légales"/>
    <w:basedOn w:val="Listepuces"/>
    <w:link w:val="MentionslgalesCar"/>
    <w:rsid w:val="000A0838"/>
    <w:pPr>
      <w:ind w:left="0" w:firstLine="0"/>
      <w:jc w:val="left"/>
    </w:pPr>
    <w:rPr>
      <w:sz w:val="14"/>
      <w:szCs w:val="14"/>
    </w:rPr>
  </w:style>
  <w:style w:type="character" w:customStyle="1" w:styleId="MentionslgalesCar">
    <w:name w:val="Mentions légales Car"/>
    <w:link w:val="Mentionslgales"/>
    <w:rsid w:val="000A0838"/>
    <w:rPr>
      <w:rFonts w:ascii="Verdana" w:eastAsia="Cambria" w:hAnsi="Verdana" w:cs="Angsana New"/>
      <w:noProof/>
      <w:kern w:val="20"/>
      <w:sz w:val="14"/>
      <w:szCs w:val="14"/>
    </w:rPr>
  </w:style>
  <w:style w:type="paragraph" w:styleId="Listepuces">
    <w:name w:val="List Bullet"/>
    <w:basedOn w:val="Normal"/>
    <w:link w:val="ListepucesCar"/>
    <w:uiPriority w:val="1"/>
    <w:unhideWhenUsed/>
    <w:rsid w:val="000A0838"/>
    <w:pPr>
      <w:spacing w:before="40" w:after="40" w:line="288" w:lineRule="auto"/>
      <w:ind w:left="360" w:hanging="360"/>
    </w:pPr>
    <w:rPr>
      <w:rFonts w:eastAsia="Cambria" w:cs="Angsana New"/>
      <w:noProof/>
      <w:kern w:val="20"/>
      <w:sz w:val="20"/>
      <w:szCs w:val="20"/>
    </w:rPr>
  </w:style>
  <w:style w:type="character" w:customStyle="1" w:styleId="Titre2Car">
    <w:name w:val="Titre 2 Car"/>
    <w:aliases w:val="Titre violet Car"/>
    <w:link w:val="Titre2"/>
    <w:uiPriority w:val="1"/>
    <w:semiHidden/>
    <w:rsid w:val="000A0838"/>
    <w:rPr>
      <w:rFonts w:ascii="Verdana" w:eastAsia="Times New Roman" w:hAnsi="Verdana" w:cs="Cordia New"/>
      <w:b/>
      <w:caps/>
      <w:noProof/>
      <w:color w:val="581D74"/>
      <w:kern w:val="20"/>
      <w:sz w:val="24"/>
    </w:rPr>
  </w:style>
  <w:style w:type="character" w:customStyle="1" w:styleId="ListepucesCar">
    <w:name w:val="Liste à puces Car"/>
    <w:link w:val="Listepuces"/>
    <w:uiPriority w:val="1"/>
    <w:rsid w:val="000A0838"/>
    <w:rPr>
      <w:rFonts w:ascii="Verdana" w:eastAsia="Cambria" w:hAnsi="Verdana" w:cs="Angsana New"/>
      <w:noProof/>
      <w:kern w:val="20"/>
    </w:rPr>
  </w:style>
  <w:style w:type="paragraph" w:styleId="Listenumros">
    <w:name w:val="List Number"/>
    <w:aliases w:val="Liste à numéros violet"/>
    <w:basedOn w:val="Normal"/>
    <w:link w:val="ListenumrosCar"/>
    <w:uiPriority w:val="1"/>
    <w:unhideWhenUsed/>
    <w:rsid w:val="000A0838"/>
    <w:pPr>
      <w:numPr>
        <w:numId w:val="9"/>
      </w:numPr>
      <w:spacing w:before="40" w:after="160" w:line="288" w:lineRule="auto"/>
      <w:contextualSpacing/>
    </w:pPr>
    <w:rPr>
      <w:rFonts w:eastAsia="Cambria" w:cs="Angsana New"/>
      <w:noProof/>
      <w:kern w:val="20"/>
      <w:sz w:val="20"/>
      <w:szCs w:val="20"/>
    </w:rPr>
  </w:style>
  <w:style w:type="character" w:customStyle="1" w:styleId="ListenumrosCar">
    <w:name w:val="Liste à numéros Car"/>
    <w:aliases w:val="Liste à numéros violet Car"/>
    <w:link w:val="Listenumros"/>
    <w:uiPriority w:val="1"/>
    <w:rsid w:val="000A0838"/>
    <w:rPr>
      <w:rFonts w:ascii="Verdana" w:eastAsia="Cambria" w:hAnsi="Verdana" w:cs="Angsana New"/>
      <w:noProof/>
      <w:kern w:val="20"/>
    </w:rPr>
  </w:style>
  <w:style w:type="paragraph" w:styleId="Listenumros2">
    <w:name w:val="List Number 2"/>
    <w:aliases w:val="Liste à numéros 1"/>
    <w:basedOn w:val="Normal"/>
    <w:uiPriority w:val="1"/>
    <w:unhideWhenUsed/>
    <w:rsid w:val="000A0838"/>
    <w:pPr>
      <w:numPr>
        <w:ilvl w:val="1"/>
        <w:numId w:val="9"/>
      </w:numPr>
      <w:spacing w:before="40" w:after="160" w:line="288" w:lineRule="auto"/>
      <w:contextualSpacing/>
      <w:jc w:val="left"/>
    </w:pPr>
    <w:rPr>
      <w:rFonts w:eastAsia="Cambria" w:cs="Angsana New"/>
      <w:noProof/>
      <w:color w:val="581D74"/>
      <w:kern w:val="20"/>
      <w:sz w:val="24"/>
      <w:szCs w:val="24"/>
    </w:rPr>
  </w:style>
  <w:style w:type="character" w:styleId="lev">
    <w:name w:val="Strong"/>
    <w:aliases w:val="Bold"/>
    <w:uiPriority w:val="22"/>
    <w:qFormat/>
    <w:rsid w:val="000A0838"/>
    <w:rPr>
      <w:b/>
      <w:bCs/>
    </w:rPr>
  </w:style>
  <w:style w:type="paragraph" w:customStyle="1" w:styleId="1-TITREcommuniqu">
    <w:name w:val="1-TITRE communiqué"/>
    <w:basedOn w:val="Titrecommuniqu"/>
    <w:link w:val="1-TITREcommuniquCar"/>
    <w:rsid w:val="000A0838"/>
    <w:rPr>
      <w:color w:val="501964"/>
      <w:sz w:val="32"/>
      <w:szCs w:val="32"/>
    </w:rPr>
  </w:style>
  <w:style w:type="paragraph" w:customStyle="1" w:styleId="1-DATEcommuniqu">
    <w:name w:val="1-DATE communiqué"/>
    <w:basedOn w:val="Datecommuniqu"/>
    <w:link w:val="1-DATEcommuniquCar"/>
    <w:qFormat/>
    <w:rsid w:val="00DC4366"/>
    <w:pPr>
      <w:spacing w:before="0"/>
    </w:pPr>
    <w:rPr>
      <w:sz w:val="20"/>
      <w:szCs w:val="20"/>
    </w:rPr>
  </w:style>
  <w:style w:type="character" w:customStyle="1" w:styleId="1-TITREcommuniquCar">
    <w:name w:val="1-TITRE communiqué Car"/>
    <w:link w:val="1-TITREcommuniqu"/>
    <w:rsid w:val="000A0838"/>
    <w:rPr>
      <w:rFonts w:ascii="Verdana" w:hAnsi="Verdana"/>
      <w:color w:val="501964"/>
      <w:sz w:val="32"/>
      <w:szCs w:val="32"/>
    </w:rPr>
  </w:style>
  <w:style w:type="paragraph" w:customStyle="1" w:styleId="3-CHAPcommuniqu">
    <w:name w:val="3-CHAPÔ communiqué"/>
    <w:basedOn w:val="chapcommuniqu"/>
    <w:link w:val="3-CHAPcommuniquCar"/>
    <w:rsid w:val="000A0838"/>
    <w:rPr>
      <w:color w:val="501964"/>
      <w:sz w:val="20"/>
      <w:szCs w:val="20"/>
    </w:rPr>
  </w:style>
  <w:style w:type="character" w:customStyle="1" w:styleId="1-DATEcommuniquCar">
    <w:name w:val="1-DATE communiqué Car"/>
    <w:link w:val="1-DATEcommuniqu"/>
    <w:rsid w:val="00DC4366"/>
    <w:rPr>
      <w:rFonts w:ascii="Verdana" w:hAnsi="Verdana"/>
      <w:color w:val="581D74"/>
    </w:rPr>
  </w:style>
  <w:style w:type="paragraph" w:customStyle="1" w:styleId="2-TEXTECOURANTcommuniqu">
    <w:name w:val="2-TEXTE COURANT communiqué"/>
    <w:basedOn w:val="textecourantcommuniqu"/>
    <w:link w:val="2-TEXTECOURANTcommuniquCar"/>
    <w:qFormat/>
    <w:rsid w:val="000A0838"/>
    <w:rPr>
      <w:spacing w:val="-4"/>
      <w:sz w:val="20"/>
      <w:szCs w:val="20"/>
    </w:rPr>
  </w:style>
  <w:style w:type="character" w:customStyle="1" w:styleId="3-CHAPcommuniquCar">
    <w:name w:val="3-CHAPÔ communiqué Car"/>
    <w:link w:val="3-CHAPcommuniqu"/>
    <w:rsid w:val="000A0838"/>
    <w:rPr>
      <w:rFonts w:ascii="Verdana" w:hAnsi="Verdana"/>
      <w:b/>
      <w:color w:val="501964"/>
    </w:rPr>
  </w:style>
  <w:style w:type="paragraph" w:customStyle="1" w:styleId="5-APROPOS">
    <w:name w:val="5-A PROPOS"/>
    <w:basedOn w:val="Normal"/>
    <w:link w:val="5-APROPOSCar"/>
    <w:rsid w:val="00EC7529"/>
    <w:pPr>
      <w:pBdr>
        <w:left w:val="single" w:sz="4" w:space="4" w:color="581D74"/>
      </w:pBdr>
      <w:ind w:left="142"/>
    </w:pPr>
    <w:rPr>
      <w:i/>
      <w:sz w:val="18"/>
      <w:szCs w:val="18"/>
      <w:lang w:val="pt-BR"/>
    </w:rPr>
  </w:style>
  <w:style w:type="character" w:customStyle="1" w:styleId="2-TEXTECOURANTcommuniquCar">
    <w:name w:val="2-TEXTE COURANT communiqué Car"/>
    <w:link w:val="2-TEXTECOURANTcommuniqu"/>
    <w:rsid w:val="000A0838"/>
    <w:rPr>
      <w:rFonts w:ascii="Verdana" w:hAnsi="Verdana"/>
      <w:spacing w:val="-4"/>
    </w:rPr>
  </w:style>
  <w:style w:type="character" w:customStyle="1" w:styleId="5-APROPOSCar">
    <w:name w:val="5-A PROPOS Car"/>
    <w:link w:val="5-APROPOS"/>
    <w:rsid w:val="00EC7529"/>
    <w:rPr>
      <w:rFonts w:ascii="Verdana" w:hAnsi="Verdana"/>
      <w:i/>
      <w:sz w:val="18"/>
      <w:szCs w:val="18"/>
      <w:lang w:val="pt-BR"/>
    </w:rPr>
  </w:style>
  <w:style w:type="paragraph" w:customStyle="1" w:styleId="5-TitreAPROPOS">
    <w:name w:val="5-Titre A PROPOS"/>
    <w:basedOn w:val="Titreparagraphe"/>
    <w:link w:val="5-TitreAPROPOSCar"/>
    <w:rsid w:val="00A905D1"/>
    <w:pPr>
      <w:pBdr>
        <w:left w:val="single" w:sz="4" w:space="4" w:color="581D74"/>
      </w:pBdr>
      <w:spacing w:before="0"/>
      <w:ind w:left="142"/>
    </w:pPr>
    <w:rPr>
      <w:color w:val="581D74"/>
      <w:sz w:val="18"/>
      <w:szCs w:val="18"/>
      <w:lang w:val="pt-BR"/>
    </w:rPr>
  </w:style>
  <w:style w:type="character" w:customStyle="1" w:styleId="5-TitreAPROPOSCar">
    <w:name w:val="5-Titre A PROPOS Car"/>
    <w:link w:val="5-TitreAPROPOS"/>
    <w:rsid w:val="00A905D1"/>
    <w:rPr>
      <w:rFonts w:ascii="Verdana" w:hAnsi="Verdana"/>
      <w:b/>
      <w:color w:val="581D74"/>
      <w:sz w:val="18"/>
      <w:szCs w:val="18"/>
      <w:lang w:val="pt-BR"/>
    </w:rPr>
  </w:style>
  <w:style w:type="paragraph" w:customStyle="1" w:styleId="7-APROPOS">
    <w:name w:val="7-A PROPOS"/>
    <w:basedOn w:val="Normal"/>
    <w:link w:val="7-APROPOSCar"/>
    <w:qFormat/>
    <w:rsid w:val="000A0838"/>
    <w:pPr>
      <w:pBdr>
        <w:left w:val="single" w:sz="4" w:space="4" w:color="581D74"/>
      </w:pBdr>
      <w:ind w:left="142"/>
    </w:pPr>
    <w:rPr>
      <w:i/>
      <w:sz w:val="18"/>
      <w:szCs w:val="18"/>
      <w:lang w:val="pt-BR"/>
    </w:rPr>
  </w:style>
  <w:style w:type="character" w:customStyle="1" w:styleId="7-APROPOSCar">
    <w:name w:val="7-A PROPOS Car"/>
    <w:link w:val="7-APROPOS"/>
    <w:rsid w:val="000A0838"/>
    <w:rPr>
      <w:rFonts w:ascii="Verdana" w:hAnsi="Verdana"/>
      <w:i/>
      <w:sz w:val="18"/>
      <w:szCs w:val="18"/>
      <w:lang w:val="pt-BR"/>
    </w:rPr>
  </w:style>
  <w:style w:type="paragraph" w:customStyle="1" w:styleId="7-TitreAPROPOS">
    <w:name w:val="7-Titre A PROPOS"/>
    <w:basedOn w:val="Titreparagraphe"/>
    <w:link w:val="7-TitreAPROPOSCar"/>
    <w:qFormat/>
    <w:rsid w:val="000A0838"/>
    <w:pPr>
      <w:pBdr>
        <w:left w:val="single" w:sz="4" w:space="4" w:color="581D74"/>
      </w:pBdr>
      <w:spacing w:before="0"/>
      <w:ind w:left="142"/>
    </w:pPr>
    <w:rPr>
      <w:color w:val="581D74"/>
      <w:sz w:val="18"/>
      <w:szCs w:val="18"/>
      <w:lang w:val="pt-BR"/>
    </w:rPr>
  </w:style>
  <w:style w:type="paragraph" w:customStyle="1" w:styleId="5-INTER">
    <w:name w:val="5-INTER"/>
    <w:basedOn w:val="Boldviolet"/>
    <w:link w:val="5-INTERCar"/>
    <w:rsid w:val="000A0838"/>
    <w:rPr>
      <w:spacing w:val="0"/>
    </w:rPr>
  </w:style>
  <w:style w:type="character" w:customStyle="1" w:styleId="7-TitreAPROPOSCar">
    <w:name w:val="7-Titre A PROPOS Car"/>
    <w:link w:val="7-TitreAPROPOS"/>
    <w:rsid w:val="000A0838"/>
    <w:rPr>
      <w:rFonts w:ascii="Verdana" w:hAnsi="Verdana"/>
      <w:b/>
      <w:color w:val="581D74"/>
      <w:sz w:val="18"/>
      <w:szCs w:val="18"/>
      <w:lang w:val="pt-BR"/>
    </w:rPr>
  </w:style>
  <w:style w:type="character" w:customStyle="1" w:styleId="5-INTERCar">
    <w:name w:val="5-INTER Car"/>
    <w:link w:val="5-INTER"/>
    <w:rsid w:val="000A0838"/>
    <w:rPr>
      <w:rFonts w:ascii="Verdana" w:eastAsia="Times New Roman" w:hAnsi="Verdana"/>
      <w:b/>
      <w:color w:val="581D74"/>
      <w:szCs w:val="24"/>
    </w:rPr>
  </w:style>
  <w:style w:type="paragraph" w:customStyle="1" w:styleId="6-LISTEPUCE">
    <w:name w:val="6- LISTE PUCE"/>
    <w:basedOn w:val="2-TEXTECOURANTcommuniqu"/>
    <w:link w:val="6-LISTEPUCECar"/>
    <w:qFormat/>
    <w:rsid w:val="000A0838"/>
    <w:pPr>
      <w:numPr>
        <w:numId w:val="7"/>
      </w:numPr>
    </w:pPr>
    <w:rPr>
      <w:spacing w:val="0"/>
    </w:rPr>
  </w:style>
  <w:style w:type="character" w:customStyle="1" w:styleId="6-LISTEPUCECar">
    <w:name w:val="6- LISTE PUCE Car"/>
    <w:link w:val="6-LISTEPUCE"/>
    <w:rsid w:val="000A0838"/>
    <w:rPr>
      <w:rFonts w:ascii="Verdana" w:hAnsi="Verdana"/>
    </w:rPr>
  </w:style>
  <w:style w:type="paragraph" w:customStyle="1" w:styleId="3-Titre1">
    <w:name w:val="3-Titre1"/>
    <w:basedOn w:val="2-TEXTECOURANTcommuniqu"/>
    <w:link w:val="3-Titre1Car"/>
    <w:qFormat/>
    <w:rsid w:val="000A0838"/>
    <w:pPr>
      <w:pBdr>
        <w:bottom w:val="single" w:sz="4" w:space="1" w:color="F47920"/>
      </w:pBdr>
      <w:tabs>
        <w:tab w:val="left" w:pos="426"/>
      </w:tabs>
      <w:spacing w:before="600" w:after="360"/>
    </w:pPr>
    <w:rPr>
      <w:b/>
      <w:color w:val="581D74"/>
      <w:sz w:val="22"/>
      <w:szCs w:val="22"/>
    </w:rPr>
  </w:style>
  <w:style w:type="character" w:customStyle="1" w:styleId="3-Titre1Car">
    <w:name w:val="3-Titre1 Car"/>
    <w:link w:val="3-Titre1"/>
    <w:rsid w:val="000A0838"/>
    <w:rPr>
      <w:rFonts w:ascii="Verdana" w:hAnsi="Verdana"/>
      <w:b/>
      <w:color w:val="581D74"/>
      <w:spacing w:val="-4"/>
      <w:sz w:val="22"/>
      <w:szCs w:val="22"/>
    </w:rPr>
  </w:style>
  <w:style w:type="character" w:customStyle="1" w:styleId="orange">
    <w:name w:val="orange"/>
    <w:uiPriority w:val="1"/>
    <w:qFormat/>
    <w:rsid w:val="000A0838"/>
    <w:rPr>
      <w:color w:val="F47920"/>
    </w:rPr>
  </w:style>
  <w:style w:type="paragraph" w:customStyle="1" w:styleId="3-Titre2">
    <w:name w:val="3-Titre2"/>
    <w:basedOn w:val="2-TEXTECOURANTcommuniqu"/>
    <w:link w:val="3-Titre2Car"/>
    <w:qFormat/>
    <w:rsid w:val="00696668"/>
    <w:pPr>
      <w:tabs>
        <w:tab w:val="left" w:pos="426"/>
      </w:tabs>
      <w:spacing w:before="480" w:after="240"/>
    </w:pPr>
    <w:rPr>
      <w:b/>
      <w:color w:val="581D74" w:themeColor="accent1"/>
    </w:rPr>
  </w:style>
  <w:style w:type="character" w:customStyle="1" w:styleId="3-Titre2Car">
    <w:name w:val="3-Titre2 Car"/>
    <w:basedOn w:val="2-TEXTECOURANTcommuniquCar"/>
    <w:link w:val="3-Titre2"/>
    <w:rsid w:val="00696668"/>
    <w:rPr>
      <w:rFonts w:ascii="Verdana" w:hAnsi="Verdana"/>
      <w:b/>
      <w:color w:val="581D74" w:themeColor="accent1"/>
      <w:spacing w:val="-4"/>
    </w:rPr>
  </w:style>
  <w:style w:type="paragraph" w:styleId="Notedebasdepage">
    <w:name w:val="footnote text"/>
    <w:basedOn w:val="Normal"/>
    <w:link w:val="NotedebasdepageCar"/>
    <w:rsid w:val="008E7554"/>
    <w:rPr>
      <w:sz w:val="14"/>
      <w:szCs w:val="20"/>
    </w:rPr>
  </w:style>
  <w:style w:type="character" w:customStyle="1" w:styleId="NotedebasdepageCar">
    <w:name w:val="Note de bas de page Car"/>
    <w:basedOn w:val="Policepardfaut"/>
    <w:link w:val="Notedebasdepage"/>
    <w:rsid w:val="008E7554"/>
    <w:rPr>
      <w:rFonts w:ascii="Verdana" w:hAnsi="Verdana"/>
      <w:sz w:val="14"/>
    </w:rPr>
  </w:style>
  <w:style w:type="character" w:styleId="Appelnotedebasdep">
    <w:name w:val="footnote reference"/>
    <w:basedOn w:val="Policepardfaut"/>
    <w:rsid w:val="00C17A07"/>
    <w:rPr>
      <w:vertAlign w:val="superscript"/>
    </w:rPr>
  </w:style>
  <w:style w:type="character" w:customStyle="1" w:styleId="Style">
    <w:name w:val="Style"/>
    <w:basedOn w:val="Appelnotedebasdep"/>
    <w:rsid w:val="008E7554"/>
    <w:rPr>
      <w:spacing w:val="-4"/>
      <w:sz w:val="14"/>
      <w:vertAlign w:val="superscript"/>
    </w:rPr>
  </w:style>
  <w:style w:type="character" w:customStyle="1" w:styleId="introCar">
    <w:name w:val="intro Car"/>
    <w:basedOn w:val="2-TEXTECOURANTcommuniquCar"/>
    <w:link w:val="intro"/>
    <w:rsid w:val="001659A3"/>
    <w:rPr>
      <w:rFonts w:ascii="Verdana" w:hAnsi="Verdana"/>
      <w:i/>
      <w:color w:val="825D69" w:themeColor="text2"/>
      <w:spacing w:val="-4"/>
      <w:sz w:val="18"/>
      <w:szCs w:val="18"/>
    </w:rPr>
  </w:style>
  <w:style w:type="paragraph" w:customStyle="1" w:styleId="3-Titre3">
    <w:name w:val="3-Titre3"/>
    <w:basedOn w:val="2-TEXTECOURANTcommuniqu"/>
    <w:link w:val="3-Titre3Car"/>
    <w:qFormat/>
    <w:rsid w:val="008E2B05"/>
    <w:pPr>
      <w:numPr>
        <w:numId w:val="12"/>
      </w:numPr>
    </w:pPr>
    <w:rPr>
      <w:b/>
    </w:rPr>
  </w:style>
  <w:style w:type="character" w:customStyle="1" w:styleId="4-SoustitreCar">
    <w:name w:val="4-Sous titre Car"/>
    <w:basedOn w:val="2-TEXTECOURANTcommuniquCar"/>
    <w:link w:val="4-Soustitre"/>
    <w:rsid w:val="008E2B05"/>
    <w:rPr>
      <w:rFonts w:ascii="Verdana" w:hAnsi="Verdana"/>
      <w:b/>
      <w:color w:val="581D74" w:themeColor="accent1"/>
      <w:spacing w:val="-4"/>
    </w:rPr>
  </w:style>
  <w:style w:type="character" w:customStyle="1" w:styleId="3-Titre3Car">
    <w:name w:val="3-Titre3 Car"/>
    <w:basedOn w:val="2-TEXTECOURANTcommuniquCar"/>
    <w:link w:val="3-Titre3"/>
    <w:rsid w:val="008E2B05"/>
    <w:rPr>
      <w:rFonts w:ascii="Verdana" w:hAnsi="Verdana"/>
      <w:b/>
      <w:spacing w:val="-4"/>
    </w:rPr>
  </w:style>
  <w:style w:type="paragraph" w:styleId="Paragraphedeliste">
    <w:name w:val="List Paragraph"/>
    <w:basedOn w:val="Normal"/>
    <w:uiPriority w:val="34"/>
    <w:rsid w:val="00A97B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267">
    <w:lsdException w:name="Normal" w:qFormat="1"/>
    <w:lsdException w:name="heading 2" w:semiHidden="1" w:uiPriority="1" w:unhideWhenUsed="1" w:qFormat="1"/>
    <w:lsdException w:name="heading 3" w:semiHidden="1"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List Bullet" w:uiPriority="1"/>
    <w:lsdException w:name="List Number" w:uiPriority="1"/>
    <w:lsdException w:name="List Number 2" w:uiPriority="1"/>
    <w:lsdException w:name="Strong" w:uiPriority="2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E7554"/>
    <w:pPr>
      <w:jc w:val="both"/>
    </w:pPr>
    <w:rPr>
      <w:rFonts w:ascii="Verdana" w:hAnsi="Verdana"/>
      <w:sz w:val="22"/>
      <w:szCs w:val="22"/>
    </w:rPr>
  </w:style>
  <w:style w:type="paragraph" w:styleId="Titre2">
    <w:name w:val="heading 2"/>
    <w:aliases w:val="Titre violet"/>
    <w:basedOn w:val="Normal"/>
    <w:next w:val="Normal"/>
    <w:link w:val="Titre2Car"/>
    <w:uiPriority w:val="1"/>
    <w:semiHidden/>
    <w:unhideWhenUsed/>
    <w:qFormat/>
    <w:rsid w:val="000A0838"/>
    <w:pPr>
      <w:keepNext/>
      <w:keepLines/>
      <w:spacing w:before="360" w:after="60"/>
      <w:jc w:val="left"/>
      <w:outlineLvl w:val="1"/>
    </w:pPr>
    <w:rPr>
      <w:rFonts w:eastAsia="Times New Roman" w:cs="Cordia New"/>
      <w:b/>
      <w:caps/>
      <w:noProof/>
      <w:color w:val="581D74"/>
      <w:kern w:val="20"/>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Titreducommuniqu">
    <w:name w:val="Titre du communiqué"/>
    <w:basedOn w:val="Normal"/>
    <w:rPr>
      <w:color w:val="000000"/>
      <w:sz w:val="36"/>
    </w:rPr>
  </w:style>
  <w:style w:type="paragraph" w:customStyle="1" w:styleId="Dateducommuniqu">
    <w:name w:val="Date du communiqué"/>
    <w:basedOn w:val="Normal"/>
    <w:pPr>
      <w:spacing w:line="300" w:lineRule="atLeast"/>
    </w:pPr>
    <w:rPr>
      <w:color w:val="501964"/>
      <w:sz w:val="28"/>
    </w:rPr>
  </w:style>
  <w:style w:type="paragraph" w:customStyle="1" w:styleId="Titreparagraphe">
    <w:name w:val="Titre paragraphe"/>
    <w:basedOn w:val="Normal"/>
    <w:link w:val="TitreparagrapheCar"/>
    <w:pPr>
      <w:spacing w:before="240"/>
    </w:pPr>
    <w:rPr>
      <w:b/>
      <w:color w:val="501964"/>
    </w:rPr>
  </w:style>
  <w:style w:type="character" w:styleId="Lienhypertexte">
    <w:name w:val="Hyperlink"/>
    <w:rsid w:val="0069247C"/>
    <w:rPr>
      <w:color w:val="581D74" w:themeColor="accent1"/>
      <w:u w:val="single"/>
    </w:rPr>
  </w:style>
  <w:style w:type="character" w:styleId="Numrodepage">
    <w:name w:val="page number"/>
    <w:basedOn w:val="Policepardfaut"/>
    <w:rsid w:val="008A3BA7"/>
  </w:style>
  <w:style w:type="paragraph" w:styleId="Textedebulles">
    <w:name w:val="Balloon Text"/>
    <w:basedOn w:val="Normal"/>
    <w:semiHidden/>
    <w:rsid w:val="00100D2B"/>
    <w:rPr>
      <w:rFonts w:ascii="Tahoma" w:hAnsi="Tahoma" w:cs="Tahoma"/>
      <w:sz w:val="16"/>
      <w:szCs w:val="16"/>
    </w:rPr>
  </w:style>
  <w:style w:type="table" w:styleId="Grilledutableau">
    <w:name w:val="Table Grid"/>
    <w:basedOn w:val="TableauNormal"/>
    <w:rsid w:val="000901A2"/>
    <w:pPr>
      <w:spacing w:line="3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69247C"/>
    <w:rPr>
      <w:color w:val="B0006C" w:themeColor="accent4"/>
      <w:u w:val="single"/>
    </w:rPr>
  </w:style>
  <w:style w:type="paragraph" w:customStyle="1" w:styleId="Titrecommuniqu">
    <w:name w:val="Titre communiqué"/>
    <w:basedOn w:val="Titreparagraphe"/>
    <w:link w:val="TitrecommuniquCar"/>
    <w:rsid w:val="00572D78"/>
    <w:pPr>
      <w:spacing w:before="0"/>
    </w:pPr>
    <w:rPr>
      <w:b w:val="0"/>
      <w:color w:val="auto"/>
      <w:sz w:val="28"/>
      <w:szCs w:val="28"/>
    </w:rPr>
  </w:style>
  <w:style w:type="paragraph" w:customStyle="1" w:styleId="Datecommuniqu">
    <w:name w:val="Date communiqué"/>
    <w:basedOn w:val="Titreparagraphe"/>
    <w:link w:val="DatecommuniquCar"/>
    <w:rsid w:val="00572D78"/>
    <w:pPr>
      <w:spacing w:before="480"/>
    </w:pPr>
    <w:rPr>
      <w:b w:val="0"/>
      <w:color w:val="581D74"/>
    </w:rPr>
  </w:style>
  <w:style w:type="character" w:customStyle="1" w:styleId="TitreparagrapheCar">
    <w:name w:val="Titre paragraphe Car"/>
    <w:link w:val="Titreparagraphe"/>
    <w:rsid w:val="00572D78"/>
    <w:rPr>
      <w:rFonts w:ascii="Verdana" w:hAnsi="Verdana"/>
      <w:b/>
      <w:color w:val="501964"/>
    </w:rPr>
  </w:style>
  <w:style w:type="character" w:customStyle="1" w:styleId="TitrecommuniquCar">
    <w:name w:val="Titre communiqué Car"/>
    <w:link w:val="Titrecommuniqu"/>
    <w:rsid w:val="00572D78"/>
    <w:rPr>
      <w:rFonts w:ascii="Verdana" w:hAnsi="Verdana"/>
      <w:b w:val="0"/>
      <w:color w:val="501964"/>
      <w:sz w:val="28"/>
      <w:szCs w:val="28"/>
    </w:rPr>
  </w:style>
  <w:style w:type="paragraph" w:customStyle="1" w:styleId="chapcommuniqu">
    <w:name w:val="chapô communiqué"/>
    <w:basedOn w:val="Titreparagraphe"/>
    <w:link w:val="chapcommuniquCar"/>
    <w:rsid w:val="00572D78"/>
    <w:rPr>
      <w:color w:val="auto"/>
      <w:sz w:val="18"/>
      <w:szCs w:val="18"/>
    </w:rPr>
  </w:style>
  <w:style w:type="character" w:customStyle="1" w:styleId="DatecommuniquCar">
    <w:name w:val="Date communiqué Car"/>
    <w:link w:val="Datecommuniqu"/>
    <w:rsid w:val="00572D78"/>
    <w:rPr>
      <w:rFonts w:ascii="Verdana" w:hAnsi="Verdana"/>
      <w:b w:val="0"/>
      <w:color w:val="581D74"/>
    </w:rPr>
  </w:style>
  <w:style w:type="paragraph" w:customStyle="1" w:styleId="textecourantcommuniqu">
    <w:name w:val="texte courant communiqué"/>
    <w:basedOn w:val="Normal"/>
    <w:link w:val="textecourantcommuniquCar"/>
    <w:rsid w:val="00572D78"/>
    <w:rPr>
      <w:sz w:val="18"/>
      <w:szCs w:val="18"/>
    </w:rPr>
  </w:style>
  <w:style w:type="character" w:customStyle="1" w:styleId="chapcommuniquCar">
    <w:name w:val="chapô communiqué Car"/>
    <w:link w:val="chapcommuniqu"/>
    <w:rsid w:val="00572D78"/>
    <w:rPr>
      <w:rFonts w:ascii="Verdana" w:hAnsi="Verdana"/>
      <w:b/>
      <w:color w:val="501964"/>
      <w:sz w:val="18"/>
      <w:szCs w:val="18"/>
    </w:rPr>
  </w:style>
  <w:style w:type="paragraph" w:customStyle="1" w:styleId="En-tteombr">
    <w:name w:val="En-tête ombré"/>
    <w:basedOn w:val="Normal"/>
    <w:uiPriority w:val="19"/>
    <w:rsid w:val="000A0838"/>
    <w:pPr>
      <w:pBdr>
        <w:top w:val="single" w:sz="2" w:space="2" w:color="581D74"/>
        <w:left w:val="single" w:sz="2" w:space="6" w:color="581D74"/>
        <w:bottom w:val="single" w:sz="2" w:space="2" w:color="581D74"/>
        <w:right w:val="single" w:sz="2" w:space="6" w:color="581D74"/>
      </w:pBdr>
      <w:shd w:val="clear" w:color="auto" w:fill="581D74"/>
      <w:spacing w:before="40"/>
      <w:ind w:left="-360" w:right="-360"/>
    </w:pPr>
    <w:rPr>
      <w:rFonts w:eastAsia="Times New Roman" w:cs="Cordia New"/>
      <w:caps/>
      <w:noProof/>
      <w:color w:val="FFFFFF"/>
      <w:kern w:val="20"/>
      <w:sz w:val="28"/>
      <w:szCs w:val="28"/>
    </w:rPr>
  </w:style>
  <w:style w:type="character" w:customStyle="1" w:styleId="textecourantcommuniquCar">
    <w:name w:val="texte courant communiqué Car"/>
    <w:link w:val="textecourantcommuniqu"/>
    <w:rsid w:val="00572D78"/>
    <w:rPr>
      <w:rFonts w:ascii="Verdana" w:hAnsi="Verdana"/>
      <w:sz w:val="18"/>
      <w:szCs w:val="18"/>
    </w:rPr>
  </w:style>
  <w:style w:type="paragraph" w:customStyle="1" w:styleId="Titre1">
    <w:name w:val="Titre1"/>
    <w:link w:val="Titre1Car"/>
    <w:rsid w:val="000A0838"/>
    <w:pPr>
      <w:spacing w:after="200" w:line="276" w:lineRule="auto"/>
    </w:pPr>
    <w:rPr>
      <w:rFonts w:ascii="Verdana" w:eastAsia="Times New Roman" w:hAnsi="Verdana"/>
      <w:bCs/>
      <w:color w:val="411556"/>
      <w:sz w:val="36"/>
      <w:szCs w:val="36"/>
    </w:rPr>
  </w:style>
  <w:style w:type="character" w:customStyle="1" w:styleId="Titre1Car">
    <w:name w:val="Titre1 Car"/>
    <w:link w:val="Titre1"/>
    <w:rsid w:val="000A0838"/>
    <w:rPr>
      <w:rFonts w:ascii="Verdana" w:eastAsia="Times New Roman" w:hAnsi="Verdana" w:cs="Times New Roman"/>
      <w:bCs/>
      <w:color w:val="411556"/>
      <w:sz w:val="36"/>
      <w:szCs w:val="36"/>
    </w:rPr>
  </w:style>
  <w:style w:type="paragraph" w:customStyle="1" w:styleId="Italique">
    <w:name w:val="Italique"/>
    <w:basedOn w:val="Normal"/>
    <w:link w:val="ItaliqueCar"/>
    <w:qFormat/>
    <w:rsid w:val="000A0838"/>
    <w:pPr>
      <w:ind w:left="360" w:hanging="360"/>
    </w:pPr>
    <w:rPr>
      <w:rFonts w:eastAsia="Cambria" w:cs="Angsana New"/>
      <w:i/>
      <w:noProof/>
      <w:kern w:val="20"/>
      <w:sz w:val="20"/>
      <w:szCs w:val="20"/>
    </w:rPr>
  </w:style>
  <w:style w:type="character" w:customStyle="1" w:styleId="ItaliqueCar">
    <w:name w:val="Italique Car"/>
    <w:link w:val="Italique"/>
    <w:rsid w:val="000A0838"/>
    <w:rPr>
      <w:rFonts w:ascii="Verdana" w:eastAsia="Cambria" w:hAnsi="Verdana" w:cs="Angsana New"/>
      <w:i/>
      <w:noProof/>
      <w:kern w:val="20"/>
    </w:rPr>
  </w:style>
  <w:style w:type="paragraph" w:customStyle="1" w:styleId="intro">
    <w:name w:val="intro"/>
    <w:basedOn w:val="2-TEXTECOURANTcommuniqu"/>
    <w:link w:val="introCar"/>
    <w:qFormat/>
    <w:rsid w:val="001659A3"/>
    <w:rPr>
      <w:i/>
      <w:color w:val="825D69" w:themeColor="text2"/>
      <w:sz w:val="18"/>
      <w:szCs w:val="18"/>
    </w:rPr>
  </w:style>
  <w:style w:type="paragraph" w:customStyle="1" w:styleId="4-Soustitre">
    <w:name w:val="4-Sous titre"/>
    <w:basedOn w:val="2-TEXTECOURANTcommuniqu"/>
    <w:link w:val="4-SoustitreCar"/>
    <w:qFormat/>
    <w:rsid w:val="008E2B05"/>
    <w:pPr>
      <w:pBdr>
        <w:bottom w:val="single" w:sz="4" w:space="1" w:color="581D74" w:themeColor="accent1"/>
      </w:pBdr>
      <w:spacing w:after="240"/>
    </w:pPr>
    <w:rPr>
      <w:b/>
      <w:color w:val="581D74" w:themeColor="accent1"/>
    </w:rPr>
  </w:style>
  <w:style w:type="paragraph" w:styleId="Notedefin">
    <w:name w:val="endnote text"/>
    <w:basedOn w:val="Normal"/>
    <w:link w:val="NotedefinCar"/>
    <w:rsid w:val="00572D78"/>
    <w:rPr>
      <w:sz w:val="20"/>
      <w:szCs w:val="20"/>
    </w:rPr>
  </w:style>
  <w:style w:type="character" w:customStyle="1" w:styleId="NotedefinCar">
    <w:name w:val="Note de fin Car"/>
    <w:link w:val="Notedefin"/>
    <w:rsid w:val="00572D78"/>
    <w:rPr>
      <w:rFonts w:ascii="Verdana" w:hAnsi="Verdana"/>
      <w:sz w:val="20"/>
      <w:szCs w:val="20"/>
    </w:rPr>
  </w:style>
  <w:style w:type="paragraph" w:customStyle="1" w:styleId="Boldviolet">
    <w:name w:val="Bold violet"/>
    <w:basedOn w:val="2-TEXTECOURANTcommuniqu"/>
    <w:link w:val="BoldvioletCar"/>
    <w:qFormat/>
    <w:rsid w:val="000A0838"/>
    <w:pPr>
      <w:jc w:val="left"/>
    </w:pPr>
    <w:rPr>
      <w:rFonts w:eastAsia="Times New Roman"/>
      <w:b/>
      <w:color w:val="581D74"/>
      <w:szCs w:val="24"/>
    </w:rPr>
  </w:style>
  <w:style w:type="character" w:customStyle="1" w:styleId="BoldvioletCar">
    <w:name w:val="Bold violet Car"/>
    <w:link w:val="Boldviolet"/>
    <w:rsid w:val="000A0838"/>
    <w:rPr>
      <w:rFonts w:ascii="Verdana" w:eastAsia="Times New Roman" w:hAnsi="Verdana"/>
      <w:b/>
      <w:color w:val="581D74"/>
      <w:spacing w:val="-4"/>
      <w:szCs w:val="24"/>
    </w:rPr>
  </w:style>
  <w:style w:type="paragraph" w:customStyle="1" w:styleId="Mentionslgales">
    <w:name w:val="Mentions légales"/>
    <w:basedOn w:val="Listepuces"/>
    <w:link w:val="MentionslgalesCar"/>
    <w:rsid w:val="000A0838"/>
    <w:pPr>
      <w:ind w:left="0" w:firstLine="0"/>
      <w:jc w:val="left"/>
    </w:pPr>
    <w:rPr>
      <w:sz w:val="14"/>
      <w:szCs w:val="14"/>
    </w:rPr>
  </w:style>
  <w:style w:type="character" w:customStyle="1" w:styleId="MentionslgalesCar">
    <w:name w:val="Mentions légales Car"/>
    <w:link w:val="Mentionslgales"/>
    <w:rsid w:val="000A0838"/>
    <w:rPr>
      <w:rFonts w:ascii="Verdana" w:eastAsia="Cambria" w:hAnsi="Verdana" w:cs="Angsana New"/>
      <w:noProof/>
      <w:kern w:val="20"/>
      <w:sz w:val="14"/>
      <w:szCs w:val="14"/>
    </w:rPr>
  </w:style>
  <w:style w:type="paragraph" w:styleId="Listepuces">
    <w:name w:val="List Bullet"/>
    <w:basedOn w:val="Normal"/>
    <w:link w:val="ListepucesCar"/>
    <w:uiPriority w:val="1"/>
    <w:unhideWhenUsed/>
    <w:rsid w:val="000A0838"/>
    <w:pPr>
      <w:spacing w:before="40" w:after="40" w:line="288" w:lineRule="auto"/>
      <w:ind w:left="360" w:hanging="360"/>
    </w:pPr>
    <w:rPr>
      <w:rFonts w:eastAsia="Cambria" w:cs="Angsana New"/>
      <w:noProof/>
      <w:kern w:val="20"/>
      <w:sz w:val="20"/>
      <w:szCs w:val="20"/>
    </w:rPr>
  </w:style>
  <w:style w:type="character" w:customStyle="1" w:styleId="Titre2Car">
    <w:name w:val="Titre 2 Car"/>
    <w:aliases w:val="Titre violet Car"/>
    <w:link w:val="Titre2"/>
    <w:uiPriority w:val="1"/>
    <w:semiHidden/>
    <w:rsid w:val="000A0838"/>
    <w:rPr>
      <w:rFonts w:ascii="Verdana" w:eastAsia="Times New Roman" w:hAnsi="Verdana" w:cs="Cordia New"/>
      <w:b/>
      <w:caps/>
      <w:noProof/>
      <w:color w:val="581D74"/>
      <w:kern w:val="20"/>
      <w:sz w:val="24"/>
    </w:rPr>
  </w:style>
  <w:style w:type="character" w:customStyle="1" w:styleId="ListepucesCar">
    <w:name w:val="Liste à puces Car"/>
    <w:link w:val="Listepuces"/>
    <w:uiPriority w:val="1"/>
    <w:rsid w:val="000A0838"/>
    <w:rPr>
      <w:rFonts w:ascii="Verdana" w:eastAsia="Cambria" w:hAnsi="Verdana" w:cs="Angsana New"/>
      <w:noProof/>
      <w:kern w:val="20"/>
    </w:rPr>
  </w:style>
  <w:style w:type="paragraph" w:styleId="Listenumros">
    <w:name w:val="List Number"/>
    <w:aliases w:val="Liste à numéros violet"/>
    <w:basedOn w:val="Normal"/>
    <w:link w:val="ListenumrosCar"/>
    <w:uiPriority w:val="1"/>
    <w:unhideWhenUsed/>
    <w:rsid w:val="000A0838"/>
    <w:pPr>
      <w:numPr>
        <w:numId w:val="9"/>
      </w:numPr>
      <w:spacing w:before="40" w:after="160" w:line="288" w:lineRule="auto"/>
      <w:contextualSpacing/>
    </w:pPr>
    <w:rPr>
      <w:rFonts w:eastAsia="Cambria" w:cs="Angsana New"/>
      <w:noProof/>
      <w:kern w:val="20"/>
      <w:sz w:val="20"/>
      <w:szCs w:val="20"/>
    </w:rPr>
  </w:style>
  <w:style w:type="character" w:customStyle="1" w:styleId="ListenumrosCar">
    <w:name w:val="Liste à numéros Car"/>
    <w:aliases w:val="Liste à numéros violet Car"/>
    <w:link w:val="Listenumros"/>
    <w:uiPriority w:val="1"/>
    <w:rsid w:val="000A0838"/>
    <w:rPr>
      <w:rFonts w:ascii="Verdana" w:eastAsia="Cambria" w:hAnsi="Verdana" w:cs="Angsana New"/>
      <w:noProof/>
      <w:kern w:val="20"/>
    </w:rPr>
  </w:style>
  <w:style w:type="paragraph" w:styleId="Listenumros2">
    <w:name w:val="List Number 2"/>
    <w:aliases w:val="Liste à numéros 1"/>
    <w:basedOn w:val="Normal"/>
    <w:uiPriority w:val="1"/>
    <w:unhideWhenUsed/>
    <w:rsid w:val="000A0838"/>
    <w:pPr>
      <w:numPr>
        <w:ilvl w:val="1"/>
        <w:numId w:val="9"/>
      </w:numPr>
      <w:spacing w:before="40" w:after="160" w:line="288" w:lineRule="auto"/>
      <w:contextualSpacing/>
      <w:jc w:val="left"/>
    </w:pPr>
    <w:rPr>
      <w:rFonts w:eastAsia="Cambria" w:cs="Angsana New"/>
      <w:noProof/>
      <w:color w:val="581D74"/>
      <w:kern w:val="20"/>
      <w:sz w:val="24"/>
      <w:szCs w:val="24"/>
    </w:rPr>
  </w:style>
  <w:style w:type="character" w:styleId="lev">
    <w:name w:val="Strong"/>
    <w:aliases w:val="Bold"/>
    <w:uiPriority w:val="22"/>
    <w:qFormat/>
    <w:rsid w:val="000A0838"/>
    <w:rPr>
      <w:b/>
      <w:bCs/>
    </w:rPr>
  </w:style>
  <w:style w:type="paragraph" w:customStyle="1" w:styleId="1-TITREcommuniqu">
    <w:name w:val="1-TITRE communiqué"/>
    <w:basedOn w:val="Titrecommuniqu"/>
    <w:link w:val="1-TITREcommuniquCar"/>
    <w:rsid w:val="000A0838"/>
    <w:rPr>
      <w:color w:val="501964"/>
      <w:sz w:val="32"/>
      <w:szCs w:val="32"/>
    </w:rPr>
  </w:style>
  <w:style w:type="paragraph" w:customStyle="1" w:styleId="1-DATEcommuniqu">
    <w:name w:val="1-DATE communiqué"/>
    <w:basedOn w:val="Datecommuniqu"/>
    <w:link w:val="1-DATEcommuniquCar"/>
    <w:qFormat/>
    <w:rsid w:val="00DC4366"/>
    <w:pPr>
      <w:spacing w:before="0"/>
    </w:pPr>
    <w:rPr>
      <w:sz w:val="20"/>
      <w:szCs w:val="20"/>
    </w:rPr>
  </w:style>
  <w:style w:type="character" w:customStyle="1" w:styleId="1-TITREcommuniquCar">
    <w:name w:val="1-TITRE communiqué Car"/>
    <w:link w:val="1-TITREcommuniqu"/>
    <w:rsid w:val="000A0838"/>
    <w:rPr>
      <w:rFonts w:ascii="Verdana" w:hAnsi="Verdana"/>
      <w:color w:val="501964"/>
      <w:sz w:val="32"/>
      <w:szCs w:val="32"/>
    </w:rPr>
  </w:style>
  <w:style w:type="paragraph" w:customStyle="1" w:styleId="3-CHAPcommuniqu">
    <w:name w:val="3-CHAPÔ communiqué"/>
    <w:basedOn w:val="chapcommuniqu"/>
    <w:link w:val="3-CHAPcommuniquCar"/>
    <w:rsid w:val="000A0838"/>
    <w:rPr>
      <w:color w:val="501964"/>
      <w:sz w:val="20"/>
      <w:szCs w:val="20"/>
    </w:rPr>
  </w:style>
  <w:style w:type="character" w:customStyle="1" w:styleId="1-DATEcommuniquCar">
    <w:name w:val="1-DATE communiqué Car"/>
    <w:link w:val="1-DATEcommuniqu"/>
    <w:rsid w:val="00DC4366"/>
    <w:rPr>
      <w:rFonts w:ascii="Verdana" w:hAnsi="Verdana"/>
      <w:color w:val="581D74"/>
    </w:rPr>
  </w:style>
  <w:style w:type="paragraph" w:customStyle="1" w:styleId="2-TEXTECOURANTcommuniqu">
    <w:name w:val="2-TEXTE COURANT communiqué"/>
    <w:basedOn w:val="textecourantcommuniqu"/>
    <w:link w:val="2-TEXTECOURANTcommuniquCar"/>
    <w:qFormat/>
    <w:rsid w:val="000A0838"/>
    <w:rPr>
      <w:spacing w:val="-4"/>
      <w:sz w:val="20"/>
      <w:szCs w:val="20"/>
    </w:rPr>
  </w:style>
  <w:style w:type="character" w:customStyle="1" w:styleId="3-CHAPcommuniquCar">
    <w:name w:val="3-CHAPÔ communiqué Car"/>
    <w:link w:val="3-CHAPcommuniqu"/>
    <w:rsid w:val="000A0838"/>
    <w:rPr>
      <w:rFonts w:ascii="Verdana" w:hAnsi="Verdana"/>
      <w:b/>
      <w:color w:val="501964"/>
    </w:rPr>
  </w:style>
  <w:style w:type="paragraph" w:customStyle="1" w:styleId="5-APROPOS">
    <w:name w:val="5-A PROPOS"/>
    <w:basedOn w:val="Normal"/>
    <w:link w:val="5-APROPOSCar"/>
    <w:rsid w:val="00EC7529"/>
    <w:pPr>
      <w:pBdr>
        <w:left w:val="single" w:sz="4" w:space="4" w:color="581D74"/>
      </w:pBdr>
      <w:ind w:left="142"/>
    </w:pPr>
    <w:rPr>
      <w:i/>
      <w:sz w:val="18"/>
      <w:szCs w:val="18"/>
      <w:lang w:val="pt-BR"/>
    </w:rPr>
  </w:style>
  <w:style w:type="character" w:customStyle="1" w:styleId="2-TEXTECOURANTcommuniquCar">
    <w:name w:val="2-TEXTE COURANT communiqué Car"/>
    <w:link w:val="2-TEXTECOURANTcommuniqu"/>
    <w:rsid w:val="000A0838"/>
    <w:rPr>
      <w:rFonts w:ascii="Verdana" w:hAnsi="Verdana"/>
      <w:spacing w:val="-4"/>
    </w:rPr>
  </w:style>
  <w:style w:type="character" w:customStyle="1" w:styleId="5-APROPOSCar">
    <w:name w:val="5-A PROPOS Car"/>
    <w:link w:val="5-APROPOS"/>
    <w:rsid w:val="00EC7529"/>
    <w:rPr>
      <w:rFonts w:ascii="Verdana" w:hAnsi="Verdana"/>
      <w:i/>
      <w:sz w:val="18"/>
      <w:szCs w:val="18"/>
      <w:lang w:val="pt-BR"/>
    </w:rPr>
  </w:style>
  <w:style w:type="paragraph" w:customStyle="1" w:styleId="5-TitreAPROPOS">
    <w:name w:val="5-Titre A PROPOS"/>
    <w:basedOn w:val="Titreparagraphe"/>
    <w:link w:val="5-TitreAPROPOSCar"/>
    <w:rsid w:val="00A905D1"/>
    <w:pPr>
      <w:pBdr>
        <w:left w:val="single" w:sz="4" w:space="4" w:color="581D74"/>
      </w:pBdr>
      <w:spacing w:before="0"/>
      <w:ind w:left="142"/>
    </w:pPr>
    <w:rPr>
      <w:color w:val="581D74"/>
      <w:sz w:val="18"/>
      <w:szCs w:val="18"/>
      <w:lang w:val="pt-BR"/>
    </w:rPr>
  </w:style>
  <w:style w:type="character" w:customStyle="1" w:styleId="5-TitreAPROPOSCar">
    <w:name w:val="5-Titre A PROPOS Car"/>
    <w:link w:val="5-TitreAPROPOS"/>
    <w:rsid w:val="00A905D1"/>
    <w:rPr>
      <w:rFonts w:ascii="Verdana" w:hAnsi="Verdana"/>
      <w:b/>
      <w:color w:val="581D74"/>
      <w:sz w:val="18"/>
      <w:szCs w:val="18"/>
      <w:lang w:val="pt-BR"/>
    </w:rPr>
  </w:style>
  <w:style w:type="paragraph" w:customStyle="1" w:styleId="7-APROPOS">
    <w:name w:val="7-A PROPOS"/>
    <w:basedOn w:val="Normal"/>
    <w:link w:val="7-APROPOSCar"/>
    <w:qFormat/>
    <w:rsid w:val="000A0838"/>
    <w:pPr>
      <w:pBdr>
        <w:left w:val="single" w:sz="4" w:space="4" w:color="581D74"/>
      </w:pBdr>
      <w:ind w:left="142"/>
    </w:pPr>
    <w:rPr>
      <w:i/>
      <w:sz w:val="18"/>
      <w:szCs w:val="18"/>
      <w:lang w:val="pt-BR"/>
    </w:rPr>
  </w:style>
  <w:style w:type="character" w:customStyle="1" w:styleId="7-APROPOSCar">
    <w:name w:val="7-A PROPOS Car"/>
    <w:link w:val="7-APROPOS"/>
    <w:rsid w:val="000A0838"/>
    <w:rPr>
      <w:rFonts w:ascii="Verdana" w:hAnsi="Verdana"/>
      <w:i/>
      <w:sz w:val="18"/>
      <w:szCs w:val="18"/>
      <w:lang w:val="pt-BR"/>
    </w:rPr>
  </w:style>
  <w:style w:type="paragraph" w:customStyle="1" w:styleId="7-TitreAPROPOS">
    <w:name w:val="7-Titre A PROPOS"/>
    <w:basedOn w:val="Titreparagraphe"/>
    <w:link w:val="7-TitreAPROPOSCar"/>
    <w:qFormat/>
    <w:rsid w:val="000A0838"/>
    <w:pPr>
      <w:pBdr>
        <w:left w:val="single" w:sz="4" w:space="4" w:color="581D74"/>
      </w:pBdr>
      <w:spacing w:before="0"/>
      <w:ind w:left="142"/>
    </w:pPr>
    <w:rPr>
      <w:color w:val="581D74"/>
      <w:sz w:val="18"/>
      <w:szCs w:val="18"/>
      <w:lang w:val="pt-BR"/>
    </w:rPr>
  </w:style>
  <w:style w:type="paragraph" w:customStyle="1" w:styleId="5-INTER">
    <w:name w:val="5-INTER"/>
    <w:basedOn w:val="Boldviolet"/>
    <w:link w:val="5-INTERCar"/>
    <w:rsid w:val="000A0838"/>
    <w:rPr>
      <w:spacing w:val="0"/>
    </w:rPr>
  </w:style>
  <w:style w:type="character" w:customStyle="1" w:styleId="7-TitreAPROPOSCar">
    <w:name w:val="7-Titre A PROPOS Car"/>
    <w:link w:val="7-TitreAPROPOS"/>
    <w:rsid w:val="000A0838"/>
    <w:rPr>
      <w:rFonts w:ascii="Verdana" w:hAnsi="Verdana"/>
      <w:b/>
      <w:color w:val="581D74"/>
      <w:sz w:val="18"/>
      <w:szCs w:val="18"/>
      <w:lang w:val="pt-BR"/>
    </w:rPr>
  </w:style>
  <w:style w:type="character" w:customStyle="1" w:styleId="5-INTERCar">
    <w:name w:val="5-INTER Car"/>
    <w:link w:val="5-INTER"/>
    <w:rsid w:val="000A0838"/>
    <w:rPr>
      <w:rFonts w:ascii="Verdana" w:eastAsia="Times New Roman" w:hAnsi="Verdana"/>
      <w:b/>
      <w:color w:val="581D74"/>
      <w:szCs w:val="24"/>
    </w:rPr>
  </w:style>
  <w:style w:type="paragraph" w:customStyle="1" w:styleId="6-LISTEPUCE">
    <w:name w:val="6- LISTE PUCE"/>
    <w:basedOn w:val="2-TEXTECOURANTcommuniqu"/>
    <w:link w:val="6-LISTEPUCECar"/>
    <w:qFormat/>
    <w:rsid w:val="000A0838"/>
    <w:pPr>
      <w:numPr>
        <w:numId w:val="7"/>
      </w:numPr>
    </w:pPr>
    <w:rPr>
      <w:spacing w:val="0"/>
    </w:rPr>
  </w:style>
  <w:style w:type="character" w:customStyle="1" w:styleId="6-LISTEPUCECar">
    <w:name w:val="6- LISTE PUCE Car"/>
    <w:link w:val="6-LISTEPUCE"/>
    <w:rsid w:val="000A0838"/>
    <w:rPr>
      <w:rFonts w:ascii="Verdana" w:hAnsi="Verdana"/>
    </w:rPr>
  </w:style>
  <w:style w:type="paragraph" w:customStyle="1" w:styleId="3-Titre1">
    <w:name w:val="3-Titre1"/>
    <w:basedOn w:val="2-TEXTECOURANTcommuniqu"/>
    <w:link w:val="3-Titre1Car"/>
    <w:qFormat/>
    <w:rsid w:val="000A0838"/>
    <w:pPr>
      <w:pBdr>
        <w:bottom w:val="single" w:sz="4" w:space="1" w:color="F47920"/>
      </w:pBdr>
      <w:tabs>
        <w:tab w:val="left" w:pos="426"/>
      </w:tabs>
      <w:spacing w:before="600" w:after="360"/>
    </w:pPr>
    <w:rPr>
      <w:b/>
      <w:color w:val="581D74"/>
      <w:sz w:val="22"/>
      <w:szCs w:val="22"/>
    </w:rPr>
  </w:style>
  <w:style w:type="character" w:customStyle="1" w:styleId="3-Titre1Car">
    <w:name w:val="3-Titre1 Car"/>
    <w:link w:val="3-Titre1"/>
    <w:rsid w:val="000A0838"/>
    <w:rPr>
      <w:rFonts w:ascii="Verdana" w:hAnsi="Verdana"/>
      <w:b/>
      <w:color w:val="581D74"/>
      <w:spacing w:val="-4"/>
      <w:sz w:val="22"/>
      <w:szCs w:val="22"/>
    </w:rPr>
  </w:style>
  <w:style w:type="character" w:customStyle="1" w:styleId="orange">
    <w:name w:val="orange"/>
    <w:uiPriority w:val="1"/>
    <w:qFormat/>
    <w:rsid w:val="000A0838"/>
    <w:rPr>
      <w:color w:val="F47920"/>
    </w:rPr>
  </w:style>
  <w:style w:type="paragraph" w:customStyle="1" w:styleId="3-Titre2">
    <w:name w:val="3-Titre2"/>
    <w:basedOn w:val="2-TEXTECOURANTcommuniqu"/>
    <w:link w:val="3-Titre2Car"/>
    <w:qFormat/>
    <w:rsid w:val="00696668"/>
    <w:pPr>
      <w:tabs>
        <w:tab w:val="left" w:pos="426"/>
      </w:tabs>
      <w:spacing w:before="480" w:after="240"/>
    </w:pPr>
    <w:rPr>
      <w:b/>
      <w:color w:val="581D74" w:themeColor="accent1"/>
    </w:rPr>
  </w:style>
  <w:style w:type="character" w:customStyle="1" w:styleId="3-Titre2Car">
    <w:name w:val="3-Titre2 Car"/>
    <w:basedOn w:val="2-TEXTECOURANTcommuniquCar"/>
    <w:link w:val="3-Titre2"/>
    <w:rsid w:val="00696668"/>
    <w:rPr>
      <w:rFonts w:ascii="Verdana" w:hAnsi="Verdana"/>
      <w:b/>
      <w:color w:val="581D74" w:themeColor="accent1"/>
      <w:spacing w:val="-4"/>
    </w:rPr>
  </w:style>
  <w:style w:type="paragraph" w:styleId="Notedebasdepage">
    <w:name w:val="footnote text"/>
    <w:basedOn w:val="Normal"/>
    <w:link w:val="NotedebasdepageCar"/>
    <w:rsid w:val="008E7554"/>
    <w:rPr>
      <w:sz w:val="14"/>
      <w:szCs w:val="20"/>
    </w:rPr>
  </w:style>
  <w:style w:type="character" w:customStyle="1" w:styleId="NotedebasdepageCar">
    <w:name w:val="Note de bas de page Car"/>
    <w:basedOn w:val="Policepardfaut"/>
    <w:link w:val="Notedebasdepage"/>
    <w:rsid w:val="008E7554"/>
    <w:rPr>
      <w:rFonts w:ascii="Verdana" w:hAnsi="Verdana"/>
      <w:sz w:val="14"/>
    </w:rPr>
  </w:style>
  <w:style w:type="character" w:styleId="Appelnotedebasdep">
    <w:name w:val="footnote reference"/>
    <w:basedOn w:val="Policepardfaut"/>
    <w:rsid w:val="00C17A07"/>
    <w:rPr>
      <w:vertAlign w:val="superscript"/>
    </w:rPr>
  </w:style>
  <w:style w:type="character" w:customStyle="1" w:styleId="Style">
    <w:name w:val="Style"/>
    <w:basedOn w:val="Appelnotedebasdep"/>
    <w:rsid w:val="008E7554"/>
    <w:rPr>
      <w:spacing w:val="-4"/>
      <w:sz w:val="14"/>
      <w:vertAlign w:val="superscript"/>
    </w:rPr>
  </w:style>
  <w:style w:type="character" w:customStyle="1" w:styleId="introCar">
    <w:name w:val="intro Car"/>
    <w:basedOn w:val="2-TEXTECOURANTcommuniquCar"/>
    <w:link w:val="intro"/>
    <w:rsid w:val="001659A3"/>
    <w:rPr>
      <w:rFonts w:ascii="Verdana" w:hAnsi="Verdana"/>
      <w:i/>
      <w:color w:val="825D69" w:themeColor="text2"/>
      <w:spacing w:val="-4"/>
      <w:sz w:val="18"/>
      <w:szCs w:val="18"/>
    </w:rPr>
  </w:style>
  <w:style w:type="paragraph" w:customStyle="1" w:styleId="3-Titre3">
    <w:name w:val="3-Titre3"/>
    <w:basedOn w:val="2-TEXTECOURANTcommuniqu"/>
    <w:link w:val="3-Titre3Car"/>
    <w:qFormat/>
    <w:rsid w:val="008E2B05"/>
    <w:pPr>
      <w:numPr>
        <w:numId w:val="12"/>
      </w:numPr>
    </w:pPr>
    <w:rPr>
      <w:b/>
    </w:rPr>
  </w:style>
  <w:style w:type="character" w:customStyle="1" w:styleId="4-SoustitreCar">
    <w:name w:val="4-Sous titre Car"/>
    <w:basedOn w:val="2-TEXTECOURANTcommuniquCar"/>
    <w:link w:val="4-Soustitre"/>
    <w:rsid w:val="008E2B05"/>
    <w:rPr>
      <w:rFonts w:ascii="Verdana" w:hAnsi="Verdana"/>
      <w:b/>
      <w:color w:val="581D74" w:themeColor="accent1"/>
      <w:spacing w:val="-4"/>
    </w:rPr>
  </w:style>
  <w:style w:type="character" w:customStyle="1" w:styleId="3-Titre3Car">
    <w:name w:val="3-Titre3 Car"/>
    <w:basedOn w:val="2-TEXTECOURANTcommuniquCar"/>
    <w:link w:val="3-Titre3"/>
    <w:rsid w:val="008E2B05"/>
    <w:rPr>
      <w:rFonts w:ascii="Verdana" w:hAnsi="Verdana"/>
      <w:b/>
      <w:spacing w:val="-4"/>
    </w:rPr>
  </w:style>
  <w:style w:type="paragraph" w:styleId="Paragraphedeliste">
    <w:name w:val="List Paragraph"/>
    <w:basedOn w:val="Normal"/>
    <w:uiPriority w:val="34"/>
    <w:rsid w:val="00A97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23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vestor.relations@bpce.f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presse@bpce.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oupebpce.fr" TargetMode="External"/><Relationship Id="rId5" Type="http://schemas.openxmlformats.org/officeDocument/2006/relationships/settings" Target="settings.xml"/><Relationship Id="rId15" Type="http://schemas.openxmlformats.org/officeDocument/2006/relationships/hyperlink" Target="https://twitter.com/GroupeBPCE" TargetMode="External"/><Relationship Id="rId10" Type="http://schemas.openxmlformats.org/officeDocument/2006/relationships/hyperlink" Target="http://www.natixis.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bp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O:\DCG\DCG_Espace_commun\MODELES\COMMUNIQUES\CP-GroupeBPCE-OK.dotx" TargetMode="External"/></Relationships>
</file>

<file path=word/theme/theme1.xml><?xml version="1.0" encoding="utf-8"?>
<a:theme xmlns:a="http://schemas.openxmlformats.org/drawingml/2006/main" name="Thème Office">
  <a:themeElements>
    <a:clrScheme name="BPCE">
      <a:dk1>
        <a:srgbClr val="000000"/>
      </a:dk1>
      <a:lt1>
        <a:srgbClr val="FFFFFF"/>
      </a:lt1>
      <a:dk2>
        <a:srgbClr val="825D69"/>
      </a:dk2>
      <a:lt2>
        <a:srgbClr val="D6D2E3"/>
      </a:lt2>
      <a:accent1>
        <a:srgbClr val="581D74"/>
      </a:accent1>
      <a:accent2>
        <a:srgbClr val="A778AE"/>
      </a:accent2>
      <a:accent3>
        <a:srgbClr val="F47920"/>
      </a:accent3>
      <a:accent4>
        <a:srgbClr val="B0006C"/>
      </a:accent4>
      <a:accent5>
        <a:srgbClr val="BDCF41"/>
      </a:accent5>
      <a:accent6>
        <a:srgbClr val="00B2CB"/>
      </a:accent6>
      <a:hlink>
        <a:srgbClr val="976C9D"/>
      </a:hlink>
      <a:folHlink>
        <a:srgbClr val="00ABA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1C995-CF34-43F0-847E-FDF6A68C5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CP-GroupeBPCE-OK.dotx</Template>
  <TotalTime>29</TotalTime>
  <Pages>13</Pages>
  <Words>5652</Words>
  <Characters>28971</Characters>
  <Application>Microsoft Office Word</Application>
  <DocSecurity>0</DocSecurity>
  <Lines>241</Lines>
  <Paragraphs>69</Paragraphs>
  <ScaleCrop>false</ScaleCrop>
  <HeadingPairs>
    <vt:vector size="2" baseType="variant">
      <vt:variant>
        <vt:lpstr>Titre</vt:lpstr>
      </vt:variant>
      <vt:variant>
        <vt:i4>1</vt:i4>
      </vt:variant>
    </vt:vector>
  </HeadingPairs>
  <TitlesOfParts>
    <vt:vector size="1" baseType="lpstr">
      <vt:lpstr>BPCE</vt:lpstr>
    </vt:vector>
  </TitlesOfParts>
  <Company>BPCE</Company>
  <LinksUpToDate>false</LinksUpToDate>
  <CharactersWithSpaces>34554</CharactersWithSpaces>
  <SharedDoc>false</SharedDoc>
  <HyperlinkBase/>
  <HLinks>
    <vt:vector size="12" baseType="variant">
      <vt:variant>
        <vt:i4>7733283</vt:i4>
      </vt:variant>
      <vt:variant>
        <vt:i4>3</vt:i4>
      </vt:variant>
      <vt:variant>
        <vt:i4>0</vt:i4>
      </vt:variant>
      <vt:variant>
        <vt:i4>5</vt:i4>
      </vt:variant>
      <vt:variant>
        <vt:lpwstr>http://www.bpce.fr/</vt:lpwstr>
      </vt:variant>
      <vt:variant>
        <vt:lpwstr/>
      </vt:variant>
      <vt:variant>
        <vt:i4>3604481</vt:i4>
      </vt:variant>
      <vt:variant>
        <vt:i4>0</vt:i4>
      </vt:variant>
      <vt:variant>
        <vt:i4>0</vt:i4>
      </vt:variant>
      <vt:variant>
        <vt:i4>5</vt:i4>
      </vt:variant>
      <vt:variant>
        <vt:lpwstr>mailto:presse@bpce.fr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BPCE</dc:title>
  <dc:creator>yollant</dc:creator>
  <cp:lastModifiedBy>declaye</cp:lastModifiedBy>
  <cp:revision>7</cp:revision>
  <cp:lastPrinted>2015-05-07T07:50:00Z</cp:lastPrinted>
  <dcterms:created xsi:type="dcterms:W3CDTF">2015-05-06T14:39:00Z</dcterms:created>
  <dcterms:modified xsi:type="dcterms:W3CDTF">2015-05-07T07:50:00Z</dcterms:modified>
</cp:coreProperties>
</file>