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BA7" w:rsidRPr="003352C1" w:rsidRDefault="00400B40" w:rsidP="003352C1">
      <w:pPr>
        <w:pStyle w:val="1-DATEcommuniqu"/>
      </w:pPr>
      <w:r w:rsidRPr="00DC4366">
        <w:t xml:space="preserve">Paris, le </w:t>
      </w:r>
      <w:r w:rsidR="00FD1FEC">
        <w:t xml:space="preserve">30 juillet </w:t>
      </w:r>
      <w:r w:rsidR="00AB03C8">
        <w:t>2015</w:t>
      </w:r>
    </w:p>
    <w:p w:rsidR="00E40854" w:rsidRPr="00A905D1" w:rsidRDefault="00E40854" w:rsidP="00E40854">
      <w:pPr>
        <w:rPr>
          <w:sz w:val="20"/>
          <w:szCs w:val="20"/>
        </w:rPr>
      </w:pPr>
    </w:p>
    <w:tbl>
      <w:tblPr>
        <w:tblStyle w:val="Grilledutableau"/>
        <w:tblW w:w="10187" w:type="dxa"/>
        <w:shd w:val="clear" w:color="auto" w:fill="D9D9D9" w:themeFill="background1" w:themeFillShade="D9"/>
        <w:tblLayout w:type="fixed"/>
        <w:tblCellMar>
          <w:right w:w="142" w:type="dxa"/>
        </w:tblCellMar>
        <w:tblLook w:val="04A0" w:firstRow="1" w:lastRow="0" w:firstColumn="1" w:lastColumn="0" w:noHBand="0" w:noVBand="1"/>
      </w:tblPr>
      <w:tblGrid>
        <w:gridCol w:w="10187"/>
      </w:tblGrid>
      <w:tr w:rsidR="00A1331E" w:rsidRPr="007F353A" w:rsidTr="009F0686">
        <w:trPr>
          <w:trHeight w:val="624"/>
        </w:trPr>
        <w:tc>
          <w:tcPr>
            <w:tcW w:w="10187" w:type="dxa"/>
            <w:tcBorders>
              <w:top w:val="nil"/>
              <w:left w:val="nil"/>
              <w:bottom w:val="nil"/>
              <w:right w:val="nil"/>
            </w:tcBorders>
            <w:shd w:val="clear" w:color="auto" w:fill="auto"/>
          </w:tcPr>
          <w:p w:rsidR="00A1331E" w:rsidRPr="008C6CB2" w:rsidRDefault="00A1331E" w:rsidP="00B35BB4">
            <w:pPr>
              <w:pStyle w:val="Titre1"/>
              <w:tabs>
                <w:tab w:val="left" w:pos="290"/>
                <w:tab w:val="center" w:pos="4984"/>
              </w:tabs>
              <w:spacing w:before="240" w:after="0" w:line="240" w:lineRule="auto"/>
              <w:ind w:left="-96" w:right="-108"/>
              <w:jc w:val="center"/>
              <w:rPr>
                <w:color w:val="FFFFFF" w:themeColor="background1"/>
                <w:position w:val="6"/>
                <w:sz w:val="28"/>
                <w:szCs w:val="26"/>
              </w:rPr>
            </w:pPr>
            <w:r w:rsidRPr="008C6CB2">
              <w:rPr>
                <w:noProof/>
                <w:color w:val="581D74" w:themeColor="accent1"/>
                <w:sz w:val="28"/>
                <w:szCs w:val="26"/>
              </w:rPr>
              <w:drawing>
                <wp:anchor distT="0" distB="0" distL="114300" distR="114300" simplePos="0" relativeHeight="251664384" behindDoc="1" locked="0" layoutInCell="1" allowOverlap="1" wp14:anchorId="6BBF7969" wp14:editId="2BA1A942">
                  <wp:simplePos x="0" y="0"/>
                  <wp:positionH relativeFrom="column">
                    <wp:posOffset>-64482</wp:posOffset>
                  </wp:positionH>
                  <wp:positionV relativeFrom="paragraph">
                    <wp:posOffset>5427</wp:posOffset>
                  </wp:positionV>
                  <wp:extent cx="6452558" cy="612003"/>
                  <wp:effectExtent l="0" t="0" r="0" b="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52558" cy="6120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6CB2">
              <w:rPr>
                <w:color w:val="FFFFFF" w:themeColor="background1"/>
                <w:position w:val="6"/>
                <w:sz w:val="28"/>
                <w:szCs w:val="26"/>
              </w:rPr>
              <w:t>RÉSULTATS</w:t>
            </w:r>
            <w:bookmarkStart w:id="0" w:name="_Ref414027813"/>
            <w:r>
              <w:rPr>
                <w:rStyle w:val="Appelnotedebasdep"/>
                <w:color w:val="FFFFFF" w:themeColor="background1"/>
                <w:position w:val="6"/>
                <w:sz w:val="28"/>
                <w:szCs w:val="26"/>
              </w:rPr>
              <w:footnoteReference w:id="1"/>
            </w:r>
            <w:bookmarkEnd w:id="0"/>
            <w:r w:rsidRPr="008C6CB2">
              <w:rPr>
                <w:color w:val="FFFFFF" w:themeColor="background1"/>
                <w:position w:val="6"/>
                <w:sz w:val="28"/>
                <w:szCs w:val="26"/>
              </w:rPr>
              <w:t xml:space="preserve"> </w:t>
            </w:r>
            <w:r>
              <w:rPr>
                <w:color w:val="FFFFFF" w:themeColor="background1"/>
                <w:position w:val="6"/>
                <w:sz w:val="28"/>
                <w:szCs w:val="26"/>
              </w:rPr>
              <w:t>DU 2</w:t>
            </w:r>
            <w:r w:rsidRPr="00AB7CB3">
              <w:rPr>
                <w:color w:val="FFFFFF" w:themeColor="background1"/>
                <w:position w:val="6"/>
                <w:sz w:val="28"/>
                <w:szCs w:val="26"/>
                <w:vertAlign w:val="superscript"/>
              </w:rPr>
              <w:t>e</w:t>
            </w:r>
            <w:r>
              <w:rPr>
                <w:color w:val="FFFFFF" w:themeColor="background1"/>
                <w:position w:val="6"/>
                <w:sz w:val="28"/>
                <w:szCs w:val="26"/>
              </w:rPr>
              <w:t xml:space="preserve"> TRIMESTRE ET DU 1</w:t>
            </w:r>
            <w:r w:rsidRPr="00AB7CB3">
              <w:rPr>
                <w:color w:val="FFFFFF" w:themeColor="background1"/>
                <w:position w:val="6"/>
                <w:sz w:val="28"/>
                <w:szCs w:val="26"/>
                <w:vertAlign w:val="superscript"/>
              </w:rPr>
              <w:t>er</w:t>
            </w:r>
            <w:r>
              <w:rPr>
                <w:color w:val="FFFFFF" w:themeColor="background1"/>
                <w:position w:val="6"/>
                <w:sz w:val="28"/>
                <w:szCs w:val="26"/>
              </w:rPr>
              <w:t xml:space="preserve"> SEMESTRE 2015</w:t>
            </w:r>
            <w:r w:rsidR="00717F05">
              <w:rPr>
                <w:color w:val="FFFFFF" w:themeColor="background1"/>
                <w:position w:val="6"/>
                <w:sz w:val="28"/>
                <w:szCs w:val="26"/>
              </w:rPr>
              <w:t xml:space="preserve"> </w:t>
            </w:r>
            <w:r w:rsidR="00717F05">
              <w:rPr>
                <w:color w:val="FFFFFF" w:themeColor="background1"/>
                <w:position w:val="6"/>
                <w:sz w:val="28"/>
                <w:szCs w:val="26"/>
              </w:rPr>
              <w:br/>
              <w:t>DU GROUPE BPCE</w:t>
            </w:r>
          </w:p>
        </w:tc>
      </w:tr>
      <w:tr w:rsidR="00A1331E" w:rsidRPr="007F353A" w:rsidTr="009F0686">
        <w:tc>
          <w:tcPr>
            <w:tcW w:w="10187" w:type="dxa"/>
            <w:tcBorders>
              <w:top w:val="nil"/>
              <w:left w:val="nil"/>
              <w:bottom w:val="nil"/>
              <w:right w:val="nil"/>
            </w:tcBorders>
            <w:shd w:val="clear" w:color="auto" w:fill="D9D9D9" w:themeFill="background1" w:themeFillShade="D9"/>
          </w:tcPr>
          <w:p w:rsidR="001B5774" w:rsidRPr="000A4084" w:rsidRDefault="001B5774" w:rsidP="001B5774">
            <w:pPr>
              <w:pStyle w:val="Titre1"/>
              <w:spacing w:before="160" w:after="0" w:line="240" w:lineRule="auto"/>
              <w:ind w:left="363"/>
              <w:jc w:val="both"/>
              <w:rPr>
                <w:color w:val="FF0000"/>
                <w:spacing w:val="-4"/>
                <w:sz w:val="26"/>
                <w:szCs w:val="26"/>
              </w:rPr>
            </w:pPr>
            <w:r>
              <w:rPr>
                <w:color w:val="581D74" w:themeColor="accent1"/>
                <w:spacing w:val="-4"/>
                <w:sz w:val="26"/>
                <w:szCs w:val="26"/>
              </w:rPr>
              <w:t>Résultats en progression : résultat net</w:t>
            </w:r>
            <w:bookmarkStart w:id="1" w:name="_Ref426019097"/>
            <w:r w:rsidRPr="00A55A88">
              <w:rPr>
                <w:rStyle w:val="Appelnotedebasdep"/>
                <w:color w:val="581D74" w:themeColor="accent1"/>
                <w:spacing w:val="-4"/>
                <w:sz w:val="26"/>
                <w:szCs w:val="26"/>
              </w:rPr>
              <w:footnoteReference w:id="2"/>
            </w:r>
            <w:bookmarkEnd w:id="1"/>
            <w:r w:rsidRPr="00A55A88">
              <w:rPr>
                <w:color w:val="581D74" w:themeColor="accent1"/>
                <w:spacing w:val="-4"/>
                <w:sz w:val="26"/>
                <w:szCs w:val="26"/>
              </w:rPr>
              <w:t xml:space="preserve"> </w:t>
            </w:r>
            <w:r>
              <w:rPr>
                <w:color w:val="581D74" w:themeColor="accent1"/>
                <w:spacing w:val="-4"/>
                <w:sz w:val="26"/>
                <w:szCs w:val="26"/>
              </w:rPr>
              <w:t xml:space="preserve">de 841 M€ au T2-15 (+ 2,3 %) </w:t>
            </w:r>
            <w:r w:rsidR="00311240">
              <w:rPr>
                <w:color w:val="581D74" w:themeColor="accent1"/>
                <w:spacing w:val="-4"/>
                <w:sz w:val="26"/>
                <w:szCs w:val="26"/>
              </w:rPr>
              <w:t xml:space="preserve">     </w:t>
            </w:r>
            <w:r>
              <w:rPr>
                <w:color w:val="581D74" w:themeColor="accent1"/>
                <w:spacing w:val="-4"/>
                <w:sz w:val="26"/>
                <w:szCs w:val="26"/>
              </w:rPr>
              <w:t>et de 1 850 M€ au S1-15 (+ 9,7 %)</w:t>
            </w:r>
          </w:p>
          <w:p w:rsidR="00A1331E" w:rsidRPr="00046BAB" w:rsidRDefault="00A1331E" w:rsidP="009F0686">
            <w:pPr>
              <w:pStyle w:val="2-TEXTECOURANTcommuniqu"/>
              <w:spacing w:before="200" w:line="240" w:lineRule="auto"/>
              <w:rPr>
                <w:b/>
                <w:color w:val="005865" w:themeColor="accent6" w:themeShade="80"/>
                <w:sz w:val="18"/>
                <w:szCs w:val="18"/>
              </w:rPr>
            </w:pPr>
            <w:r w:rsidRPr="00046BAB">
              <w:rPr>
                <w:b/>
                <w:color w:val="005865" w:themeColor="accent6" w:themeShade="80"/>
                <w:sz w:val="18"/>
                <w:szCs w:val="18"/>
              </w:rPr>
              <w:t xml:space="preserve">UNE ACTIVITÉ COMMERCIALE </w:t>
            </w:r>
            <w:r>
              <w:rPr>
                <w:b/>
                <w:color w:val="005865" w:themeColor="accent6" w:themeShade="80"/>
                <w:sz w:val="18"/>
                <w:szCs w:val="18"/>
              </w:rPr>
              <w:t>DYNAMIQUE DANS TOUS NOS M</w:t>
            </w:r>
            <w:r w:rsidRPr="00046BAB">
              <w:rPr>
                <w:b/>
                <w:color w:val="005865" w:themeColor="accent6" w:themeShade="80"/>
                <w:sz w:val="18"/>
                <w:szCs w:val="18"/>
              </w:rPr>
              <w:t>É</w:t>
            </w:r>
            <w:r>
              <w:rPr>
                <w:b/>
                <w:color w:val="005865" w:themeColor="accent6" w:themeShade="80"/>
                <w:sz w:val="18"/>
                <w:szCs w:val="18"/>
              </w:rPr>
              <w:t>TIERS COEURS</w:t>
            </w:r>
            <w:r>
              <w:rPr>
                <w:rStyle w:val="Appelnotedebasdep"/>
                <w:b/>
                <w:color w:val="005865" w:themeColor="accent6" w:themeShade="80"/>
                <w:sz w:val="18"/>
                <w:szCs w:val="18"/>
              </w:rPr>
              <w:footnoteReference w:id="3"/>
            </w:r>
            <w:r w:rsidRPr="00046BAB">
              <w:rPr>
                <w:b/>
                <w:color w:val="005865" w:themeColor="accent6" w:themeShade="80"/>
                <w:sz w:val="18"/>
                <w:szCs w:val="18"/>
              </w:rPr>
              <w:t xml:space="preserve"> </w:t>
            </w:r>
          </w:p>
          <w:p w:rsidR="00A1331E" w:rsidRPr="008B1FF9" w:rsidRDefault="008B1FF9" w:rsidP="008B1FF9">
            <w:pPr>
              <w:pStyle w:val="2-TEXTECOURANTcommuniqu"/>
              <w:tabs>
                <w:tab w:val="left" w:pos="298"/>
              </w:tabs>
              <w:spacing w:before="80" w:line="240" w:lineRule="auto"/>
              <w:rPr>
                <w:b/>
                <w:color w:val="B0006C" w:themeColor="accent4"/>
                <w:sz w:val="18"/>
                <w:szCs w:val="18"/>
              </w:rPr>
            </w:pPr>
            <w:r>
              <w:rPr>
                <w:b/>
                <w:color w:val="B0006C" w:themeColor="accent4"/>
                <w:sz w:val="18"/>
                <w:szCs w:val="18"/>
              </w:rPr>
              <w:tab/>
            </w:r>
            <w:r w:rsidR="00A1331E" w:rsidRPr="008B1FF9">
              <w:rPr>
                <w:b/>
                <w:color w:val="B0006C" w:themeColor="accent4"/>
                <w:sz w:val="18"/>
                <w:szCs w:val="18"/>
              </w:rPr>
              <w:t>Réseaux Banque Populaire et Caisse d’Epargne</w:t>
            </w:r>
          </w:p>
          <w:p w:rsidR="00A1331E" w:rsidRPr="008361BF" w:rsidRDefault="00A1331E" w:rsidP="009F0686">
            <w:pPr>
              <w:pStyle w:val="2-TEXTECOURANTcommuniqu"/>
              <w:numPr>
                <w:ilvl w:val="2"/>
                <w:numId w:val="11"/>
              </w:numPr>
              <w:spacing w:before="40" w:line="240" w:lineRule="auto"/>
              <w:ind w:left="1135" w:hanging="284"/>
              <w:rPr>
                <w:sz w:val="18"/>
                <w:szCs w:val="18"/>
              </w:rPr>
            </w:pPr>
            <w:r w:rsidRPr="008361BF">
              <w:rPr>
                <w:sz w:val="18"/>
                <w:szCs w:val="18"/>
              </w:rPr>
              <w:t>Croissance des encours d’épargne</w:t>
            </w:r>
            <w:r w:rsidR="007F3870">
              <w:rPr>
                <w:sz w:val="18"/>
                <w:szCs w:val="18"/>
              </w:rPr>
              <w:t xml:space="preserve"> </w:t>
            </w:r>
            <w:r w:rsidRPr="008361BF">
              <w:rPr>
                <w:sz w:val="18"/>
                <w:szCs w:val="18"/>
              </w:rPr>
              <w:t xml:space="preserve">: </w:t>
            </w:r>
            <w:r w:rsidRPr="008361BF">
              <w:rPr>
                <w:b/>
                <w:sz w:val="18"/>
                <w:szCs w:val="18"/>
              </w:rPr>
              <w:t>+ 28 Md€</w:t>
            </w:r>
            <w:r w:rsidRPr="008361BF">
              <w:rPr>
                <w:sz w:val="18"/>
                <w:szCs w:val="18"/>
              </w:rPr>
              <w:t xml:space="preserve"> sur un an à </w:t>
            </w:r>
            <w:r w:rsidR="004E6A7D">
              <w:rPr>
                <w:b/>
                <w:sz w:val="18"/>
                <w:szCs w:val="18"/>
              </w:rPr>
              <w:t>618</w:t>
            </w:r>
            <w:r w:rsidRPr="008361BF">
              <w:rPr>
                <w:b/>
                <w:sz w:val="18"/>
                <w:szCs w:val="18"/>
              </w:rPr>
              <w:t xml:space="preserve"> Md€</w:t>
            </w:r>
          </w:p>
          <w:p w:rsidR="00A1331E" w:rsidRPr="004E6A7D" w:rsidRDefault="004E6A7D" w:rsidP="009F0686">
            <w:pPr>
              <w:pStyle w:val="2-TEXTECOURANTcommuniqu"/>
              <w:numPr>
                <w:ilvl w:val="2"/>
                <w:numId w:val="11"/>
              </w:numPr>
              <w:spacing w:before="40" w:line="240" w:lineRule="auto"/>
              <w:ind w:left="1135" w:hanging="284"/>
              <w:rPr>
                <w:sz w:val="18"/>
                <w:szCs w:val="18"/>
              </w:rPr>
            </w:pPr>
            <w:r>
              <w:rPr>
                <w:sz w:val="18"/>
                <w:szCs w:val="18"/>
              </w:rPr>
              <w:t>E</w:t>
            </w:r>
            <w:r w:rsidRPr="008361BF">
              <w:rPr>
                <w:sz w:val="18"/>
                <w:szCs w:val="18"/>
              </w:rPr>
              <w:t xml:space="preserve">ncours de crédit </w:t>
            </w:r>
            <w:r>
              <w:rPr>
                <w:sz w:val="18"/>
                <w:szCs w:val="18"/>
              </w:rPr>
              <w:t xml:space="preserve">en hausse </w:t>
            </w:r>
            <w:r w:rsidR="00A1331E" w:rsidRPr="008361BF">
              <w:rPr>
                <w:sz w:val="18"/>
                <w:szCs w:val="18"/>
              </w:rPr>
              <w:t xml:space="preserve">de </w:t>
            </w:r>
            <w:r w:rsidR="00A1331E" w:rsidRPr="008361BF">
              <w:rPr>
                <w:b/>
                <w:sz w:val="18"/>
                <w:szCs w:val="18"/>
              </w:rPr>
              <w:t>2,7 %</w:t>
            </w:r>
            <w:r>
              <w:rPr>
                <w:sz w:val="18"/>
                <w:szCs w:val="18"/>
              </w:rPr>
              <w:t xml:space="preserve"> </w:t>
            </w:r>
            <w:r w:rsidR="00A1331E" w:rsidRPr="008361BF">
              <w:rPr>
                <w:sz w:val="18"/>
                <w:szCs w:val="18"/>
              </w:rPr>
              <w:t>sur un an</w:t>
            </w:r>
            <w:r w:rsidR="00E23E8C">
              <w:rPr>
                <w:sz w:val="18"/>
                <w:szCs w:val="18"/>
              </w:rPr>
              <w:t xml:space="preserve"> </w:t>
            </w:r>
          </w:p>
          <w:p w:rsidR="00A1331E" w:rsidRPr="008B1FF9" w:rsidRDefault="008B1FF9" w:rsidP="008B1FF9">
            <w:pPr>
              <w:pStyle w:val="2-TEXTECOURANTcommuniqu"/>
              <w:tabs>
                <w:tab w:val="left" w:pos="298"/>
              </w:tabs>
              <w:spacing w:before="80" w:line="240" w:lineRule="auto"/>
              <w:rPr>
                <w:color w:val="B0006C" w:themeColor="accent4"/>
                <w:sz w:val="18"/>
                <w:szCs w:val="18"/>
              </w:rPr>
            </w:pPr>
            <w:r>
              <w:rPr>
                <w:b/>
                <w:color w:val="B0006C" w:themeColor="accent4"/>
                <w:sz w:val="18"/>
                <w:szCs w:val="18"/>
              </w:rPr>
              <w:tab/>
            </w:r>
            <w:r w:rsidR="00A1331E" w:rsidRPr="008B1FF9">
              <w:rPr>
                <w:b/>
                <w:color w:val="B0006C" w:themeColor="accent4"/>
                <w:sz w:val="18"/>
                <w:szCs w:val="18"/>
              </w:rPr>
              <w:t>Assurance</w:t>
            </w:r>
          </w:p>
          <w:p w:rsidR="00A1331E" w:rsidRPr="00E15072" w:rsidRDefault="00A1331E" w:rsidP="009F0686">
            <w:pPr>
              <w:pStyle w:val="2-TEXTECOURANTcommuniqu"/>
              <w:numPr>
                <w:ilvl w:val="2"/>
                <w:numId w:val="11"/>
              </w:numPr>
              <w:spacing w:before="40" w:line="240" w:lineRule="auto"/>
              <w:ind w:left="1135" w:hanging="284"/>
              <w:rPr>
                <w:sz w:val="18"/>
                <w:szCs w:val="18"/>
              </w:rPr>
            </w:pPr>
            <w:r w:rsidRPr="00E15072">
              <w:rPr>
                <w:sz w:val="18"/>
                <w:szCs w:val="18"/>
              </w:rPr>
              <w:t xml:space="preserve">Progression soutenue du portefeuille non vie : </w:t>
            </w:r>
            <w:r w:rsidRPr="00E15072">
              <w:rPr>
                <w:b/>
                <w:sz w:val="18"/>
                <w:szCs w:val="18"/>
              </w:rPr>
              <w:t>+ 9,7 %</w:t>
            </w:r>
            <w:r w:rsidRPr="00E15072">
              <w:rPr>
                <w:sz w:val="18"/>
                <w:szCs w:val="18"/>
              </w:rPr>
              <w:t xml:space="preserve"> </w:t>
            </w:r>
            <w:r w:rsidR="00A90E30">
              <w:rPr>
                <w:sz w:val="18"/>
                <w:szCs w:val="18"/>
              </w:rPr>
              <w:t>sur un an</w:t>
            </w:r>
          </w:p>
          <w:p w:rsidR="00A1331E" w:rsidRPr="00E15072" w:rsidRDefault="004E6A7D" w:rsidP="009F0686">
            <w:pPr>
              <w:pStyle w:val="2-TEXTECOURANTcommuniqu"/>
              <w:numPr>
                <w:ilvl w:val="2"/>
                <w:numId w:val="11"/>
              </w:numPr>
              <w:spacing w:before="40" w:line="240" w:lineRule="auto"/>
              <w:ind w:left="1135" w:hanging="284"/>
              <w:rPr>
                <w:sz w:val="18"/>
                <w:szCs w:val="18"/>
              </w:rPr>
            </w:pPr>
            <w:r>
              <w:rPr>
                <w:sz w:val="18"/>
                <w:szCs w:val="18"/>
              </w:rPr>
              <w:t>Hausse des encours d’assurance vie de </w:t>
            </w:r>
            <w:r w:rsidR="00A1331E" w:rsidRPr="00514E6A">
              <w:rPr>
                <w:b/>
                <w:sz w:val="18"/>
                <w:szCs w:val="18"/>
              </w:rPr>
              <w:t>3,</w:t>
            </w:r>
            <w:r w:rsidR="00A1331E" w:rsidRPr="00E15072">
              <w:rPr>
                <w:b/>
                <w:sz w:val="18"/>
                <w:szCs w:val="18"/>
              </w:rPr>
              <w:t>8 %</w:t>
            </w:r>
            <w:r w:rsidR="00A1331E" w:rsidRPr="00E15072">
              <w:rPr>
                <w:sz w:val="18"/>
                <w:szCs w:val="18"/>
              </w:rPr>
              <w:t xml:space="preserve"> </w:t>
            </w:r>
            <w:r>
              <w:rPr>
                <w:sz w:val="18"/>
                <w:szCs w:val="18"/>
              </w:rPr>
              <w:t xml:space="preserve">et </w:t>
            </w:r>
            <w:r w:rsidR="00A1331E" w:rsidRPr="00E15072">
              <w:rPr>
                <w:sz w:val="18"/>
                <w:szCs w:val="18"/>
              </w:rPr>
              <w:t>augmentation significative du poids des UC</w:t>
            </w:r>
          </w:p>
          <w:p w:rsidR="00A1331E" w:rsidRPr="008B1FF9" w:rsidRDefault="008B1FF9" w:rsidP="008B1FF9">
            <w:pPr>
              <w:pStyle w:val="2-TEXTECOURANTcommuniqu"/>
              <w:tabs>
                <w:tab w:val="left" w:pos="284"/>
              </w:tabs>
              <w:spacing w:before="80" w:line="240" w:lineRule="auto"/>
              <w:rPr>
                <w:b/>
                <w:color w:val="B0006C" w:themeColor="accent4"/>
                <w:sz w:val="18"/>
                <w:szCs w:val="18"/>
              </w:rPr>
            </w:pPr>
            <w:r>
              <w:rPr>
                <w:b/>
                <w:color w:val="B0006C" w:themeColor="accent4"/>
                <w:sz w:val="18"/>
                <w:szCs w:val="18"/>
              </w:rPr>
              <w:tab/>
            </w:r>
            <w:r w:rsidR="00A1331E" w:rsidRPr="008B1FF9">
              <w:rPr>
                <w:b/>
                <w:color w:val="B0006C" w:themeColor="accent4"/>
                <w:sz w:val="18"/>
                <w:szCs w:val="18"/>
              </w:rPr>
              <w:t>Métiers cœurs de Natixis</w:t>
            </w:r>
          </w:p>
          <w:p w:rsidR="00A1331E" w:rsidRPr="00AC7FE9" w:rsidRDefault="00A1331E" w:rsidP="009F0686">
            <w:pPr>
              <w:pStyle w:val="2-TEXTECOURANTcommuniqu"/>
              <w:numPr>
                <w:ilvl w:val="2"/>
                <w:numId w:val="11"/>
              </w:numPr>
              <w:spacing w:before="40" w:line="240" w:lineRule="auto"/>
              <w:ind w:left="1135" w:hanging="284"/>
              <w:rPr>
                <w:sz w:val="18"/>
                <w:szCs w:val="18"/>
              </w:rPr>
            </w:pPr>
            <w:r w:rsidRPr="00AC7FE9">
              <w:rPr>
                <w:sz w:val="18"/>
                <w:szCs w:val="18"/>
              </w:rPr>
              <w:t xml:space="preserve">BGC : production nouvelle soutenue dans les financements structurés </w:t>
            </w:r>
            <w:r w:rsidRPr="0000413E">
              <w:rPr>
                <w:b/>
                <w:sz w:val="18"/>
                <w:szCs w:val="18"/>
              </w:rPr>
              <w:t>(+</w:t>
            </w:r>
            <w:r w:rsidR="00543173" w:rsidRPr="0000413E">
              <w:rPr>
                <w:b/>
                <w:sz w:val="18"/>
                <w:szCs w:val="18"/>
              </w:rPr>
              <w:t xml:space="preserve"> </w:t>
            </w:r>
            <w:r w:rsidRPr="00F50D09">
              <w:rPr>
                <w:b/>
                <w:sz w:val="18"/>
                <w:szCs w:val="18"/>
              </w:rPr>
              <w:t>14 Md€ au S1-1</w:t>
            </w:r>
            <w:r w:rsidR="00095FEE" w:rsidRPr="00577FF5">
              <w:rPr>
                <w:b/>
                <w:sz w:val="18"/>
                <w:szCs w:val="18"/>
              </w:rPr>
              <w:t>5</w:t>
            </w:r>
            <w:r w:rsidRPr="007E761A">
              <w:rPr>
                <w:b/>
                <w:sz w:val="18"/>
                <w:szCs w:val="18"/>
              </w:rPr>
              <w:t>)</w:t>
            </w:r>
            <w:r w:rsidRPr="00AC7FE9">
              <w:rPr>
                <w:sz w:val="18"/>
                <w:szCs w:val="18"/>
              </w:rPr>
              <w:t xml:space="preserve"> et très bonne</w:t>
            </w:r>
            <w:r w:rsidR="00095FEE">
              <w:rPr>
                <w:sz w:val="18"/>
                <w:szCs w:val="18"/>
              </w:rPr>
              <w:t>s</w:t>
            </w:r>
            <w:r w:rsidRPr="00AC7FE9">
              <w:rPr>
                <w:sz w:val="18"/>
                <w:szCs w:val="18"/>
              </w:rPr>
              <w:t xml:space="preserve"> performance</w:t>
            </w:r>
            <w:r w:rsidR="00095FEE">
              <w:rPr>
                <w:sz w:val="18"/>
                <w:szCs w:val="18"/>
              </w:rPr>
              <w:t>s</w:t>
            </w:r>
            <w:r w:rsidRPr="00AC7FE9">
              <w:rPr>
                <w:sz w:val="18"/>
                <w:szCs w:val="18"/>
              </w:rPr>
              <w:t xml:space="preserve"> des dérivés actions </w:t>
            </w:r>
          </w:p>
          <w:p w:rsidR="00A1331E" w:rsidRPr="008A3475" w:rsidRDefault="00A1331E" w:rsidP="009F0686">
            <w:pPr>
              <w:pStyle w:val="2-TEXTECOURANTcommuniqu"/>
              <w:numPr>
                <w:ilvl w:val="2"/>
                <w:numId w:val="11"/>
              </w:numPr>
              <w:spacing w:before="40" w:line="240" w:lineRule="auto"/>
              <w:ind w:left="1135" w:hanging="284"/>
              <w:rPr>
                <w:sz w:val="18"/>
                <w:szCs w:val="18"/>
              </w:rPr>
            </w:pPr>
            <w:r w:rsidRPr="008A3475">
              <w:rPr>
                <w:sz w:val="18"/>
                <w:szCs w:val="18"/>
              </w:rPr>
              <w:t xml:space="preserve">Épargne : </w:t>
            </w:r>
            <w:r w:rsidR="00095FEE">
              <w:rPr>
                <w:sz w:val="18"/>
                <w:szCs w:val="18"/>
              </w:rPr>
              <w:t xml:space="preserve">semestre record pour la </w:t>
            </w:r>
            <w:r w:rsidRPr="008A3475">
              <w:rPr>
                <w:sz w:val="18"/>
                <w:szCs w:val="18"/>
              </w:rPr>
              <w:t>coll</w:t>
            </w:r>
            <w:r w:rsidR="00095FEE">
              <w:rPr>
                <w:sz w:val="18"/>
                <w:szCs w:val="18"/>
              </w:rPr>
              <w:t>ecte nette en gestion d’actifs (</w:t>
            </w:r>
            <w:r w:rsidR="00C70471">
              <w:rPr>
                <w:sz w:val="18"/>
                <w:szCs w:val="18"/>
              </w:rPr>
              <w:t>+ </w:t>
            </w:r>
            <w:r w:rsidRPr="008A3475">
              <w:rPr>
                <w:b/>
                <w:sz w:val="18"/>
                <w:szCs w:val="18"/>
              </w:rPr>
              <w:t>29 Md€</w:t>
            </w:r>
            <w:r w:rsidRPr="008A3475">
              <w:rPr>
                <w:sz w:val="18"/>
                <w:szCs w:val="18"/>
              </w:rPr>
              <w:t xml:space="preserve"> au S1-2015</w:t>
            </w:r>
            <w:r w:rsidR="00095FEE">
              <w:rPr>
                <w:sz w:val="18"/>
                <w:szCs w:val="18"/>
              </w:rPr>
              <w:t>) portant les</w:t>
            </w:r>
            <w:r w:rsidRPr="008A3475">
              <w:rPr>
                <w:sz w:val="18"/>
                <w:szCs w:val="18"/>
              </w:rPr>
              <w:t xml:space="preserve"> actifs sous gestion </w:t>
            </w:r>
            <w:r w:rsidR="00095FEE">
              <w:rPr>
                <w:sz w:val="18"/>
                <w:szCs w:val="18"/>
              </w:rPr>
              <w:t>à</w:t>
            </w:r>
            <w:r w:rsidRPr="008A3475">
              <w:rPr>
                <w:sz w:val="18"/>
                <w:szCs w:val="18"/>
              </w:rPr>
              <w:t xml:space="preserve"> </w:t>
            </w:r>
            <w:r w:rsidRPr="008A3475">
              <w:rPr>
                <w:b/>
                <w:sz w:val="18"/>
                <w:szCs w:val="18"/>
              </w:rPr>
              <w:t>812</w:t>
            </w:r>
            <w:r>
              <w:rPr>
                <w:b/>
                <w:sz w:val="18"/>
                <w:szCs w:val="18"/>
              </w:rPr>
              <w:t> </w:t>
            </w:r>
            <w:r w:rsidRPr="008A3475">
              <w:rPr>
                <w:b/>
                <w:sz w:val="18"/>
                <w:szCs w:val="18"/>
              </w:rPr>
              <w:t>Md€</w:t>
            </w:r>
            <w:r w:rsidR="00095FEE">
              <w:rPr>
                <w:sz w:val="18"/>
                <w:szCs w:val="18"/>
              </w:rPr>
              <w:t> au 30 juin 2015 en intégrant DNCA (+ 17 Md€)</w:t>
            </w:r>
          </w:p>
          <w:p w:rsidR="00A1331E" w:rsidRPr="008A3475" w:rsidRDefault="00A1331E" w:rsidP="009F0686">
            <w:pPr>
              <w:pStyle w:val="2-TEXTECOURANTcommuniqu"/>
              <w:numPr>
                <w:ilvl w:val="2"/>
                <w:numId w:val="11"/>
              </w:numPr>
              <w:spacing w:before="40" w:line="240" w:lineRule="auto"/>
              <w:ind w:left="1135" w:hanging="284"/>
              <w:rPr>
                <w:sz w:val="18"/>
                <w:szCs w:val="18"/>
              </w:rPr>
            </w:pPr>
            <w:r w:rsidRPr="008A3475">
              <w:rPr>
                <w:sz w:val="18"/>
                <w:szCs w:val="18"/>
              </w:rPr>
              <w:t xml:space="preserve">SFS : maintien d’une très bonne dynamique </w:t>
            </w:r>
            <w:r w:rsidR="00095FEE">
              <w:rPr>
                <w:sz w:val="18"/>
                <w:szCs w:val="18"/>
              </w:rPr>
              <w:t xml:space="preserve">dans les </w:t>
            </w:r>
            <w:r w:rsidR="000C232A">
              <w:rPr>
                <w:sz w:val="18"/>
                <w:szCs w:val="18"/>
              </w:rPr>
              <w:t>f</w:t>
            </w:r>
            <w:r w:rsidR="00E86AB1">
              <w:rPr>
                <w:sz w:val="18"/>
                <w:szCs w:val="18"/>
              </w:rPr>
              <w:t>inancements</w:t>
            </w:r>
            <w:r w:rsidR="00095FEE">
              <w:rPr>
                <w:sz w:val="18"/>
                <w:szCs w:val="18"/>
              </w:rPr>
              <w:t xml:space="preserve"> spécialisés, notamment en </w:t>
            </w:r>
            <w:r w:rsidR="000C232A">
              <w:rPr>
                <w:sz w:val="18"/>
                <w:szCs w:val="18"/>
              </w:rPr>
              <w:t>c</w:t>
            </w:r>
            <w:r w:rsidR="00095FEE">
              <w:rPr>
                <w:sz w:val="18"/>
                <w:szCs w:val="18"/>
              </w:rPr>
              <w:t>rédit à la c</w:t>
            </w:r>
            <w:r w:rsidR="000C232A">
              <w:rPr>
                <w:sz w:val="18"/>
                <w:szCs w:val="18"/>
              </w:rPr>
              <w:t>onsommation (encours + 9 %) et c</w:t>
            </w:r>
            <w:r w:rsidR="00095FEE">
              <w:rPr>
                <w:sz w:val="18"/>
                <w:szCs w:val="18"/>
              </w:rPr>
              <w:t>autions et garanties (primes + 22 %)</w:t>
            </w:r>
          </w:p>
          <w:p w:rsidR="00A1331E" w:rsidRPr="00716BC4" w:rsidRDefault="00A1331E" w:rsidP="009F0686">
            <w:pPr>
              <w:pStyle w:val="2-TEXTECOURANTcommuniqu"/>
              <w:spacing w:before="160" w:line="240" w:lineRule="auto"/>
              <w:rPr>
                <w:b/>
                <w:color w:val="005865" w:themeColor="accent6" w:themeShade="80"/>
                <w:sz w:val="18"/>
                <w:szCs w:val="18"/>
              </w:rPr>
            </w:pPr>
            <w:r w:rsidRPr="00716BC4">
              <w:rPr>
                <w:b/>
                <w:color w:val="005865" w:themeColor="accent6" w:themeShade="80"/>
                <w:sz w:val="18"/>
                <w:szCs w:val="18"/>
              </w:rPr>
              <w:t xml:space="preserve">UNE BASE DE RÉSULTATS </w:t>
            </w:r>
            <w:r>
              <w:rPr>
                <w:b/>
                <w:color w:val="005865" w:themeColor="accent6" w:themeShade="80"/>
                <w:sz w:val="18"/>
                <w:szCs w:val="18"/>
              </w:rPr>
              <w:t xml:space="preserve">ROBUSTE </w:t>
            </w:r>
            <w:r w:rsidRPr="00716BC4">
              <w:rPr>
                <w:b/>
                <w:color w:val="005865" w:themeColor="accent6" w:themeShade="80"/>
                <w:sz w:val="18"/>
                <w:szCs w:val="18"/>
              </w:rPr>
              <w:t xml:space="preserve">AU </w:t>
            </w:r>
            <w:r>
              <w:rPr>
                <w:b/>
                <w:color w:val="005865" w:themeColor="accent6" w:themeShade="80"/>
                <w:sz w:val="18"/>
                <w:szCs w:val="18"/>
              </w:rPr>
              <w:t>S1</w:t>
            </w:r>
            <w:r w:rsidRPr="00716BC4">
              <w:rPr>
                <w:b/>
                <w:color w:val="005865" w:themeColor="accent6" w:themeShade="80"/>
                <w:sz w:val="18"/>
                <w:szCs w:val="18"/>
              </w:rPr>
              <w:t xml:space="preserve"> 2015</w:t>
            </w:r>
          </w:p>
          <w:p w:rsidR="00A1331E" w:rsidRDefault="00A1331E" w:rsidP="009F0686">
            <w:pPr>
              <w:pStyle w:val="2-TEXTECOURANTcommuniqu"/>
              <w:numPr>
                <w:ilvl w:val="2"/>
                <w:numId w:val="11"/>
              </w:numPr>
              <w:spacing w:before="40" w:line="240" w:lineRule="auto"/>
              <w:ind w:left="1135" w:hanging="284"/>
              <w:rPr>
                <w:spacing w:val="-6"/>
                <w:sz w:val="18"/>
                <w:szCs w:val="18"/>
              </w:rPr>
            </w:pPr>
            <w:r w:rsidRPr="00552680">
              <w:rPr>
                <w:spacing w:val="-6"/>
                <w:sz w:val="18"/>
                <w:szCs w:val="18"/>
              </w:rPr>
              <w:t>Revenus</w:t>
            </w:r>
            <w:bookmarkStart w:id="2" w:name="_Ref418502663"/>
            <w:r w:rsidRPr="00552680">
              <w:rPr>
                <w:rStyle w:val="Appelnotedebasdep"/>
                <w:spacing w:val="-6"/>
                <w:sz w:val="18"/>
                <w:szCs w:val="18"/>
              </w:rPr>
              <w:footnoteReference w:id="4"/>
            </w:r>
            <w:bookmarkEnd w:id="2"/>
            <w:r w:rsidRPr="00552680">
              <w:rPr>
                <w:spacing w:val="-6"/>
                <w:sz w:val="18"/>
                <w:szCs w:val="18"/>
              </w:rPr>
              <w:t xml:space="preserve"> des métier</w:t>
            </w:r>
            <w:r>
              <w:rPr>
                <w:spacing w:val="-6"/>
                <w:sz w:val="18"/>
                <w:szCs w:val="18"/>
              </w:rPr>
              <w:t xml:space="preserve">s cœurs du groupe en hausse de </w:t>
            </w:r>
            <w:r w:rsidRPr="004D46CD">
              <w:rPr>
                <w:b/>
                <w:spacing w:val="-6"/>
                <w:sz w:val="18"/>
                <w:szCs w:val="18"/>
              </w:rPr>
              <w:t>7,2 %</w:t>
            </w:r>
            <w:r w:rsidRPr="00552680">
              <w:rPr>
                <w:spacing w:val="-6"/>
                <w:sz w:val="18"/>
                <w:szCs w:val="18"/>
              </w:rPr>
              <w:t xml:space="preserve"> </w:t>
            </w:r>
            <w:r w:rsidR="002B31FC">
              <w:rPr>
                <w:spacing w:val="-6"/>
                <w:sz w:val="18"/>
                <w:szCs w:val="18"/>
              </w:rPr>
              <w:t>v</w:t>
            </w:r>
            <w:r w:rsidR="000E0C0F">
              <w:rPr>
                <w:spacing w:val="-6"/>
                <w:sz w:val="18"/>
                <w:szCs w:val="18"/>
              </w:rPr>
              <w:t>s</w:t>
            </w:r>
            <w:r w:rsidR="002B31FC">
              <w:rPr>
                <w:spacing w:val="-6"/>
                <w:sz w:val="18"/>
                <w:szCs w:val="18"/>
              </w:rPr>
              <w:t xml:space="preserve"> S1-14</w:t>
            </w:r>
            <w:r>
              <w:rPr>
                <w:spacing w:val="-6"/>
                <w:sz w:val="18"/>
                <w:szCs w:val="18"/>
              </w:rPr>
              <w:t xml:space="preserve"> </w:t>
            </w:r>
            <w:r w:rsidR="00E96132">
              <w:rPr>
                <w:spacing w:val="-6"/>
                <w:sz w:val="18"/>
                <w:szCs w:val="18"/>
              </w:rPr>
              <w:t xml:space="preserve">(+ 4,5 % à change constant) </w:t>
            </w:r>
            <w:r>
              <w:rPr>
                <w:spacing w:val="-6"/>
                <w:sz w:val="18"/>
                <w:szCs w:val="18"/>
              </w:rPr>
              <w:t xml:space="preserve">et de </w:t>
            </w:r>
            <w:r w:rsidRPr="004D46CD">
              <w:rPr>
                <w:b/>
                <w:spacing w:val="-6"/>
                <w:sz w:val="18"/>
                <w:szCs w:val="18"/>
              </w:rPr>
              <w:t>6,3 %</w:t>
            </w:r>
            <w:r w:rsidR="002B31FC">
              <w:rPr>
                <w:spacing w:val="-6"/>
                <w:sz w:val="18"/>
                <w:szCs w:val="18"/>
              </w:rPr>
              <w:t xml:space="preserve"> vs T2-14</w:t>
            </w:r>
            <w:r w:rsidR="00E96132">
              <w:rPr>
                <w:spacing w:val="-6"/>
                <w:sz w:val="18"/>
                <w:szCs w:val="18"/>
              </w:rPr>
              <w:t xml:space="preserve"> (+ 3,7 % à change constant)</w:t>
            </w:r>
          </w:p>
          <w:p w:rsidR="002B31FC" w:rsidRPr="007564A6" w:rsidRDefault="002B31FC" w:rsidP="002B31FC">
            <w:pPr>
              <w:pStyle w:val="2-TEXTECOURANTcommuniqu"/>
              <w:numPr>
                <w:ilvl w:val="2"/>
                <w:numId w:val="11"/>
              </w:numPr>
              <w:spacing w:before="40" w:line="240" w:lineRule="auto"/>
              <w:ind w:left="1135" w:hanging="284"/>
              <w:rPr>
                <w:sz w:val="18"/>
                <w:szCs w:val="18"/>
              </w:rPr>
            </w:pPr>
            <w:r w:rsidRPr="007564A6">
              <w:rPr>
                <w:sz w:val="18"/>
                <w:szCs w:val="18"/>
              </w:rPr>
              <w:t>Coefficient d’exploitation</w:t>
            </w:r>
            <w:r w:rsidR="001B5774">
              <w:rPr>
                <w:sz w:val="18"/>
                <w:szCs w:val="18"/>
              </w:rPr>
              <w:fldChar w:fldCharType="begin"/>
            </w:r>
            <w:r w:rsidR="001B5774">
              <w:rPr>
                <w:sz w:val="18"/>
                <w:szCs w:val="18"/>
              </w:rPr>
              <w:instrText xml:space="preserve"> NOTEREF _Ref426019097 \f \h </w:instrText>
            </w:r>
            <w:r w:rsidR="001B5774">
              <w:rPr>
                <w:sz w:val="18"/>
                <w:szCs w:val="18"/>
              </w:rPr>
            </w:r>
            <w:r w:rsidR="001B5774">
              <w:rPr>
                <w:sz w:val="18"/>
                <w:szCs w:val="18"/>
              </w:rPr>
              <w:fldChar w:fldCharType="separate"/>
            </w:r>
            <w:r w:rsidR="00A92C86" w:rsidRPr="00A92C86">
              <w:rPr>
                <w:rStyle w:val="Appelnotedebasdep"/>
              </w:rPr>
              <w:t>2</w:t>
            </w:r>
            <w:r w:rsidR="001B5774">
              <w:rPr>
                <w:sz w:val="18"/>
                <w:szCs w:val="18"/>
              </w:rPr>
              <w:fldChar w:fldCharType="end"/>
            </w:r>
            <w:r w:rsidRPr="0088545D">
              <w:rPr>
                <w:sz w:val="18"/>
                <w:szCs w:val="18"/>
              </w:rPr>
              <w:t xml:space="preserve"> </w:t>
            </w:r>
            <w:r>
              <w:rPr>
                <w:sz w:val="18"/>
                <w:szCs w:val="18"/>
              </w:rPr>
              <w:t>en amélioration de</w:t>
            </w:r>
            <w:r w:rsidRPr="007564A6">
              <w:rPr>
                <w:sz w:val="18"/>
                <w:szCs w:val="18"/>
              </w:rPr>
              <w:t xml:space="preserve"> </w:t>
            </w:r>
            <w:r w:rsidRPr="002B31FC">
              <w:rPr>
                <w:b/>
                <w:sz w:val="18"/>
                <w:szCs w:val="18"/>
              </w:rPr>
              <w:t>2,2 points</w:t>
            </w:r>
            <w:r w:rsidRPr="007564A6">
              <w:rPr>
                <w:sz w:val="18"/>
                <w:szCs w:val="18"/>
              </w:rPr>
              <w:t xml:space="preserve"> </w:t>
            </w:r>
            <w:r>
              <w:rPr>
                <w:sz w:val="18"/>
                <w:szCs w:val="18"/>
              </w:rPr>
              <w:t xml:space="preserve">vs </w:t>
            </w:r>
            <w:r w:rsidRPr="007564A6">
              <w:rPr>
                <w:sz w:val="18"/>
                <w:szCs w:val="18"/>
              </w:rPr>
              <w:t>S1-14</w:t>
            </w:r>
          </w:p>
          <w:p w:rsidR="00A1331E" w:rsidRPr="007564A6" w:rsidRDefault="00A1331E" w:rsidP="009F0686">
            <w:pPr>
              <w:pStyle w:val="2-TEXTECOURANTcommuniqu"/>
              <w:numPr>
                <w:ilvl w:val="2"/>
                <w:numId w:val="11"/>
              </w:numPr>
              <w:spacing w:before="40" w:line="240" w:lineRule="auto"/>
              <w:ind w:left="1135" w:hanging="284"/>
              <w:rPr>
                <w:sz w:val="18"/>
                <w:szCs w:val="18"/>
              </w:rPr>
            </w:pPr>
            <w:r w:rsidRPr="007564A6">
              <w:rPr>
                <w:sz w:val="18"/>
                <w:szCs w:val="18"/>
              </w:rPr>
              <w:t xml:space="preserve">Coût du risque </w:t>
            </w:r>
            <w:r>
              <w:rPr>
                <w:sz w:val="18"/>
                <w:szCs w:val="18"/>
              </w:rPr>
              <w:t xml:space="preserve">en baisse </w:t>
            </w:r>
            <w:r w:rsidRPr="007564A6">
              <w:rPr>
                <w:sz w:val="18"/>
                <w:szCs w:val="18"/>
              </w:rPr>
              <w:t xml:space="preserve">à </w:t>
            </w:r>
            <w:r w:rsidRPr="000E0C0F">
              <w:rPr>
                <w:b/>
                <w:sz w:val="18"/>
                <w:szCs w:val="18"/>
              </w:rPr>
              <w:t xml:space="preserve">25 </w:t>
            </w:r>
            <w:proofErr w:type="spellStart"/>
            <w:r w:rsidRPr="000E0C0F">
              <w:rPr>
                <w:b/>
                <w:sz w:val="18"/>
                <w:szCs w:val="18"/>
              </w:rPr>
              <w:t>pb</w:t>
            </w:r>
            <w:proofErr w:type="spellEnd"/>
            <w:r w:rsidRPr="000E0C0F">
              <w:rPr>
                <w:b/>
                <w:sz w:val="18"/>
                <w:szCs w:val="18"/>
              </w:rPr>
              <w:t xml:space="preserve"> au T2-15</w:t>
            </w:r>
            <w:r w:rsidRPr="007564A6">
              <w:rPr>
                <w:sz w:val="18"/>
                <w:szCs w:val="18"/>
              </w:rPr>
              <w:t xml:space="preserve"> vs. 41 </w:t>
            </w:r>
            <w:proofErr w:type="spellStart"/>
            <w:r w:rsidRPr="007564A6">
              <w:rPr>
                <w:sz w:val="18"/>
                <w:szCs w:val="18"/>
              </w:rPr>
              <w:t>pb</w:t>
            </w:r>
            <w:proofErr w:type="spellEnd"/>
            <w:r w:rsidRPr="007564A6">
              <w:rPr>
                <w:sz w:val="18"/>
                <w:szCs w:val="18"/>
              </w:rPr>
              <w:t xml:space="preserve"> au T1-15 et 33 </w:t>
            </w:r>
            <w:proofErr w:type="spellStart"/>
            <w:r w:rsidRPr="007564A6">
              <w:rPr>
                <w:sz w:val="18"/>
                <w:szCs w:val="18"/>
              </w:rPr>
              <w:t>pb</w:t>
            </w:r>
            <w:proofErr w:type="spellEnd"/>
            <w:r w:rsidRPr="007564A6">
              <w:rPr>
                <w:sz w:val="18"/>
                <w:szCs w:val="18"/>
              </w:rPr>
              <w:t xml:space="preserve"> au T2-14 </w:t>
            </w:r>
          </w:p>
          <w:p w:rsidR="00A1331E" w:rsidRPr="009A2AA5" w:rsidRDefault="00A1331E" w:rsidP="009F0686">
            <w:pPr>
              <w:pStyle w:val="2-TEXTECOURANTcommuniqu"/>
              <w:numPr>
                <w:ilvl w:val="2"/>
                <w:numId w:val="11"/>
              </w:numPr>
              <w:spacing w:before="40" w:line="240" w:lineRule="auto"/>
              <w:ind w:left="1135" w:hanging="284"/>
              <w:rPr>
                <w:b/>
                <w:sz w:val="18"/>
                <w:szCs w:val="18"/>
              </w:rPr>
            </w:pPr>
            <w:r>
              <w:rPr>
                <w:sz w:val="18"/>
                <w:szCs w:val="18"/>
              </w:rPr>
              <w:t>Résultat net</w:t>
            </w:r>
            <w:r w:rsidR="001B5774">
              <w:rPr>
                <w:sz w:val="18"/>
                <w:szCs w:val="18"/>
              </w:rPr>
              <w:fldChar w:fldCharType="begin"/>
            </w:r>
            <w:r w:rsidR="001B5774">
              <w:rPr>
                <w:sz w:val="18"/>
                <w:szCs w:val="18"/>
              </w:rPr>
              <w:instrText xml:space="preserve"> NOTEREF _Ref426019097 \f \h </w:instrText>
            </w:r>
            <w:r w:rsidR="001B5774">
              <w:rPr>
                <w:sz w:val="18"/>
                <w:szCs w:val="18"/>
              </w:rPr>
            </w:r>
            <w:r w:rsidR="001B5774">
              <w:rPr>
                <w:sz w:val="18"/>
                <w:szCs w:val="18"/>
              </w:rPr>
              <w:fldChar w:fldCharType="separate"/>
            </w:r>
            <w:r w:rsidR="00A92C86" w:rsidRPr="00A92C86">
              <w:rPr>
                <w:rStyle w:val="Appelnotedebasdep"/>
              </w:rPr>
              <w:t>2</w:t>
            </w:r>
            <w:r w:rsidR="001B5774">
              <w:rPr>
                <w:sz w:val="18"/>
                <w:szCs w:val="18"/>
              </w:rPr>
              <w:fldChar w:fldCharType="end"/>
            </w:r>
            <w:r>
              <w:rPr>
                <w:sz w:val="18"/>
                <w:szCs w:val="18"/>
              </w:rPr>
              <w:t xml:space="preserve"> </w:t>
            </w:r>
            <w:r w:rsidRPr="0088545D">
              <w:rPr>
                <w:sz w:val="18"/>
                <w:szCs w:val="18"/>
              </w:rPr>
              <w:t xml:space="preserve">des </w:t>
            </w:r>
            <w:r w:rsidR="000E0C0F">
              <w:rPr>
                <w:sz w:val="18"/>
                <w:szCs w:val="18"/>
              </w:rPr>
              <w:t>métiers cœurs : + </w:t>
            </w:r>
            <w:r w:rsidRPr="0088545D">
              <w:rPr>
                <w:sz w:val="18"/>
                <w:szCs w:val="18"/>
              </w:rPr>
              <w:t xml:space="preserve">14,1 % au S1-15 à </w:t>
            </w:r>
            <w:r w:rsidRPr="009A2AA5">
              <w:rPr>
                <w:b/>
                <w:sz w:val="18"/>
                <w:szCs w:val="18"/>
              </w:rPr>
              <w:t>2 Md€</w:t>
            </w:r>
            <w:r w:rsidRPr="0088545D">
              <w:rPr>
                <w:sz w:val="18"/>
                <w:szCs w:val="18"/>
              </w:rPr>
              <w:t xml:space="preserve"> et +</w:t>
            </w:r>
            <w:r w:rsidR="004D338E">
              <w:rPr>
                <w:sz w:val="18"/>
                <w:szCs w:val="18"/>
              </w:rPr>
              <w:t xml:space="preserve"> </w:t>
            </w:r>
            <w:r w:rsidRPr="0088545D">
              <w:rPr>
                <w:sz w:val="18"/>
                <w:szCs w:val="18"/>
              </w:rPr>
              <w:t xml:space="preserve">15,8 % au T2-15 à </w:t>
            </w:r>
            <w:r w:rsidRPr="000E0C0F">
              <w:rPr>
                <w:sz w:val="18"/>
                <w:szCs w:val="18"/>
              </w:rPr>
              <w:t>1 Md€</w:t>
            </w:r>
          </w:p>
          <w:p w:rsidR="00A1331E" w:rsidRPr="00046BAB" w:rsidRDefault="00A1331E" w:rsidP="009F0686">
            <w:pPr>
              <w:pStyle w:val="2-TEXTECOURANTcommuniqu"/>
              <w:spacing w:before="160" w:line="240" w:lineRule="auto"/>
              <w:rPr>
                <w:b/>
                <w:color w:val="005865" w:themeColor="accent6" w:themeShade="80"/>
                <w:sz w:val="18"/>
                <w:szCs w:val="18"/>
              </w:rPr>
            </w:pPr>
            <w:r w:rsidRPr="00046BAB">
              <w:rPr>
                <w:b/>
                <w:color w:val="005865" w:themeColor="accent6" w:themeShade="80"/>
                <w:sz w:val="18"/>
                <w:szCs w:val="18"/>
              </w:rPr>
              <w:t>P</w:t>
            </w:r>
            <w:r>
              <w:rPr>
                <w:b/>
                <w:color w:val="005865" w:themeColor="accent6" w:themeShade="80"/>
                <w:sz w:val="18"/>
                <w:szCs w:val="18"/>
              </w:rPr>
              <w:t>OURSUITE D</w:t>
            </w:r>
            <w:r w:rsidRPr="00046BAB">
              <w:rPr>
                <w:b/>
                <w:color w:val="005865" w:themeColor="accent6" w:themeShade="80"/>
                <w:sz w:val="18"/>
                <w:szCs w:val="18"/>
              </w:rPr>
              <w:t>U RENFORCEMENT D</w:t>
            </w:r>
            <w:r>
              <w:rPr>
                <w:b/>
                <w:color w:val="005865" w:themeColor="accent6" w:themeShade="80"/>
                <w:sz w:val="18"/>
                <w:szCs w:val="18"/>
              </w:rPr>
              <w:t>U BILAN</w:t>
            </w:r>
          </w:p>
          <w:p w:rsidR="00A1331E" w:rsidRPr="00FD1FEC" w:rsidRDefault="00A1331E" w:rsidP="009F0686">
            <w:pPr>
              <w:pStyle w:val="2-TEXTECOURANTcommuniqu"/>
              <w:numPr>
                <w:ilvl w:val="2"/>
                <w:numId w:val="11"/>
              </w:numPr>
              <w:spacing w:before="40" w:line="240" w:lineRule="auto"/>
              <w:ind w:left="1135" w:hanging="284"/>
              <w:rPr>
                <w:color w:val="FF0000"/>
                <w:sz w:val="18"/>
                <w:szCs w:val="18"/>
              </w:rPr>
            </w:pPr>
            <w:r w:rsidRPr="00C940A7">
              <w:rPr>
                <w:sz w:val="18"/>
                <w:szCs w:val="18"/>
              </w:rPr>
              <w:t xml:space="preserve">Ratio de </w:t>
            </w:r>
            <w:r w:rsidRPr="00EB02C3">
              <w:rPr>
                <w:i/>
                <w:sz w:val="18"/>
                <w:szCs w:val="18"/>
              </w:rPr>
              <w:t>Common Equity Tier 1</w:t>
            </w:r>
            <w:bookmarkStart w:id="3" w:name="_Ref418006040"/>
            <w:r w:rsidRPr="00164579">
              <w:rPr>
                <w:rStyle w:val="Appelnotedebasdep"/>
                <w:sz w:val="18"/>
                <w:szCs w:val="18"/>
              </w:rPr>
              <w:footnoteReference w:id="5"/>
            </w:r>
            <w:bookmarkEnd w:id="3"/>
            <w:r w:rsidRPr="00164579">
              <w:rPr>
                <w:sz w:val="18"/>
                <w:szCs w:val="18"/>
              </w:rPr>
              <w:t xml:space="preserve"> de </w:t>
            </w:r>
            <w:r w:rsidRPr="00164579">
              <w:rPr>
                <w:b/>
                <w:sz w:val="18"/>
                <w:szCs w:val="18"/>
              </w:rPr>
              <w:t>12,</w:t>
            </w:r>
            <w:r w:rsidR="000E0C0F" w:rsidRPr="00164579">
              <w:rPr>
                <w:b/>
                <w:sz w:val="18"/>
                <w:szCs w:val="18"/>
              </w:rPr>
              <w:t>4</w:t>
            </w:r>
            <w:r w:rsidRPr="00164579">
              <w:rPr>
                <w:b/>
                <w:sz w:val="18"/>
                <w:szCs w:val="18"/>
              </w:rPr>
              <w:t xml:space="preserve"> %</w:t>
            </w:r>
            <w:r w:rsidRPr="00164579">
              <w:rPr>
                <w:sz w:val="18"/>
                <w:szCs w:val="18"/>
              </w:rPr>
              <w:t xml:space="preserve"> au 30/06/2015 (+ 20 </w:t>
            </w:r>
            <w:proofErr w:type="spellStart"/>
            <w:r w:rsidRPr="00164579">
              <w:rPr>
                <w:sz w:val="18"/>
                <w:szCs w:val="18"/>
              </w:rPr>
              <w:t>pb</w:t>
            </w:r>
            <w:proofErr w:type="spellEnd"/>
            <w:r w:rsidRPr="00164579">
              <w:rPr>
                <w:sz w:val="18"/>
                <w:szCs w:val="18"/>
              </w:rPr>
              <w:t xml:space="preserve"> </w:t>
            </w:r>
            <w:r w:rsidR="000E0C0F" w:rsidRPr="00164579">
              <w:rPr>
                <w:sz w:val="18"/>
                <w:szCs w:val="18"/>
              </w:rPr>
              <w:t>vs T1</w:t>
            </w:r>
            <w:r w:rsidRPr="00164579">
              <w:rPr>
                <w:sz w:val="18"/>
                <w:szCs w:val="18"/>
              </w:rPr>
              <w:t>-15) et ratio de solvabilité global</w:t>
            </w:r>
            <w:r w:rsidRPr="00164579">
              <w:rPr>
                <w:sz w:val="18"/>
                <w:szCs w:val="18"/>
              </w:rPr>
              <w:fldChar w:fldCharType="begin"/>
            </w:r>
            <w:r w:rsidRPr="00164579">
              <w:rPr>
                <w:sz w:val="18"/>
                <w:szCs w:val="18"/>
              </w:rPr>
              <w:instrText xml:space="preserve"> NOTEREF _Ref418006040 \f \h </w:instrText>
            </w:r>
            <w:r w:rsidRPr="00164579">
              <w:rPr>
                <w:sz w:val="18"/>
                <w:szCs w:val="18"/>
              </w:rPr>
            </w:r>
            <w:r w:rsidRPr="00164579">
              <w:rPr>
                <w:sz w:val="18"/>
                <w:szCs w:val="18"/>
              </w:rPr>
              <w:fldChar w:fldCharType="separate"/>
            </w:r>
            <w:r w:rsidR="00A92C86" w:rsidRPr="00A92C86">
              <w:rPr>
                <w:rStyle w:val="Appelnotedebasdep"/>
              </w:rPr>
              <w:t>5</w:t>
            </w:r>
            <w:r w:rsidRPr="00164579">
              <w:rPr>
                <w:sz w:val="18"/>
                <w:szCs w:val="18"/>
              </w:rPr>
              <w:fldChar w:fldCharType="end"/>
            </w:r>
            <w:r w:rsidRPr="00164579">
              <w:rPr>
                <w:sz w:val="18"/>
                <w:szCs w:val="18"/>
              </w:rPr>
              <w:t xml:space="preserve"> de </w:t>
            </w:r>
            <w:r w:rsidRPr="00164579">
              <w:rPr>
                <w:b/>
                <w:sz w:val="18"/>
                <w:szCs w:val="18"/>
              </w:rPr>
              <w:t>15,</w:t>
            </w:r>
            <w:r w:rsidR="00164579" w:rsidRPr="00164579">
              <w:rPr>
                <w:b/>
                <w:sz w:val="18"/>
                <w:szCs w:val="18"/>
              </w:rPr>
              <w:t>9</w:t>
            </w:r>
            <w:r w:rsidRPr="00164579">
              <w:rPr>
                <w:b/>
                <w:sz w:val="18"/>
                <w:szCs w:val="18"/>
              </w:rPr>
              <w:t xml:space="preserve"> % </w:t>
            </w:r>
            <w:r w:rsidR="00164579" w:rsidRPr="00164579">
              <w:rPr>
                <w:sz w:val="18"/>
                <w:szCs w:val="18"/>
              </w:rPr>
              <w:t>(+ 2</w:t>
            </w:r>
            <w:r w:rsidRPr="00164579">
              <w:rPr>
                <w:sz w:val="18"/>
                <w:szCs w:val="18"/>
              </w:rPr>
              <w:t xml:space="preserve">0 </w:t>
            </w:r>
            <w:proofErr w:type="spellStart"/>
            <w:r w:rsidRPr="00164579">
              <w:rPr>
                <w:sz w:val="18"/>
                <w:szCs w:val="18"/>
              </w:rPr>
              <w:t>pb</w:t>
            </w:r>
            <w:proofErr w:type="spellEnd"/>
            <w:r w:rsidRPr="00164579">
              <w:rPr>
                <w:sz w:val="18"/>
                <w:szCs w:val="18"/>
              </w:rPr>
              <w:t xml:space="preserve"> </w:t>
            </w:r>
            <w:r w:rsidR="00164579" w:rsidRPr="00164579">
              <w:rPr>
                <w:sz w:val="18"/>
                <w:szCs w:val="18"/>
              </w:rPr>
              <w:t>vs T1</w:t>
            </w:r>
            <w:r w:rsidRPr="00164579">
              <w:rPr>
                <w:sz w:val="18"/>
                <w:szCs w:val="18"/>
              </w:rPr>
              <w:t>-15), intégrant l’acquisition de DNCA</w:t>
            </w:r>
          </w:p>
          <w:p w:rsidR="00A1331E" w:rsidRPr="00512D7E" w:rsidRDefault="00A1331E" w:rsidP="009F0686">
            <w:pPr>
              <w:pStyle w:val="2-TEXTECOURANTcommuniqu"/>
              <w:numPr>
                <w:ilvl w:val="2"/>
                <w:numId w:val="11"/>
              </w:numPr>
              <w:spacing w:before="40" w:line="240" w:lineRule="auto"/>
              <w:ind w:left="1135" w:hanging="284"/>
              <w:rPr>
                <w:sz w:val="18"/>
                <w:szCs w:val="18"/>
              </w:rPr>
            </w:pPr>
            <w:r w:rsidRPr="00512D7E">
              <w:rPr>
                <w:sz w:val="18"/>
                <w:szCs w:val="18"/>
              </w:rPr>
              <w:t>Ratio de levier</w:t>
            </w:r>
            <w:bookmarkStart w:id="4" w:name="_Ref414027889"/>
            <w:r w:rsidRPr="00512D7E">
              <w:rPr>
                <w:rStyle w:val="Appelnotedebasdep"/>
                <w:sz w:val="18"/>
                <w:szCs w:val="18"/>
              </w:rPr>
              <w:footnoteReference w:id="6"/>
            </w:r>
            <w:bookmarkEnd w:id="4"/>
            <w:r w:rsidRPr="00512D7E">
              <w:rPr>
                <w:sz w:val="18"/>
                <w:szCs w:val="18"/>
              </w:rPr>
              <w:t xml:space="preserve"> de </w:t>
            </w:r>
            <w:r w:rsidR="00512D7E" w:rsidRPr="00512D7E">
              <w:rPr>
                <w:b/>
                <w:sz w:val="18"/>
                <w:szCs w:val="18"/>
              </w:rPr>
              <w:t>4,8</w:t>
            </w:r>
            <w:r w:rsidRPr="00512D7E">
              <w:rPr>
                <w:b/>
                <w:sz w:val="18"/>
                <w:szCs w:val="18"/>
              </w:rPr>
              <w:t xml:space="preserve"> %</w:t>
            </w:r>
            <w:r w:rsidRPr="00512D7E">
              <w:rPr>
                <w:sz w:val="18"/>
                <w:szCs w:val="18"/>
              </w:rPr>
              <w:t xml:space="preserve"> au 3</w:t>
            </w:r>
            <w:r w:rsidR="00512D7E" w:rsidRPr="00512D7E">
              <w:rPr>
                <w:sz w:val="18"/>
                <w:szCs w:val="18"/>
              </w:rPr>
              <w:t>0</w:t>
            </w:r>
            <w:r w:rsidRPr="00512D7E">
              <w:rPr>
                <w:sz w:val="18"/>
                <w:szCs w:val="18"/>
              </w:rPr>
              <w:t>/06/2015 (+ </w:t>
            </w:r>
            <w:r w:rsidR="00512D7E" w:rsidRPr="00512D7E">
              <w:rPr>
                <w:sz w:val="18"/>
                <w:szCs w:val="18"/>
              </w:rPr>
              <w:t>20</w:t>
            </w:r>
            <w:r w:rsidRPr="00512D7E">
              <w:rPr>
                <w:sz w:val="18"/>
                <w:szCs w:val="18"/>
              </w:rPr>
              <w:t xml:space="preserve"> </w:t>
            </w:r>
            <w:proofErr w:type="spellStart"/>
            <w:r w:rsidRPr="00512D7E">
              <w:rPr>
                <w:sz w:val="18"/>
                <w:szCs w:val="18"/>
              </w:rPr>
              <w:t>pb</w:t>
            </w:r>
            <w:proofErr w:type="spellEnd"/>
            <w:r w:rsidRPr="00512D7E">
              <w:rPr>
                <w:sz w:val="18"/>
                <w:szCs w:val="18"/>
              </w:rPr>
              <w:t xml:space="preserve"> </w:t>
            </w:r>
            <w:r w:rsidR="00512D7E" w:rsidRPr="00512D7E">
              <w:rPr>
                <w:sz w:val="18"/>
                <w:szCs w:val="18"/>
              </w:rPr>
              <w:t>vs T1-15</w:t>
            </w:r>
            <w:r w:rsidRPr="00512D7E">
              <w:rPr>
                <w:sz w:val="18"/>
                <w:szCs w:val="18"/>
              </w:rPr>
              <w:t>)</w:t>
            </w:r>
          </w:p>
          <w:p w:rsidR="00A1331E" w:rsidRPr="00C017FB" w:rsidRDefault="00E23E8C" w:rsidP="009F0686">
            <w:pPr>
              <w:pStyle w:val="2-TEXTECOURANTcommuniqu"/>
              <w:numPr>
                <w:ilvl w:val="2"/>
                <w:numId w:val="11"/>
              </w:numPr>
              <w:spacing w:before="40" w:line="240" w:lineRule="auto"/>
              <w:ind w:left="1135" w:hanging="284"/>
              <w:rPr>
                <w:sz w:val="18"/>
                <w:szCs w:val="18"/>
              </w:rPr>
            </w:pPr>
            <w:r>
              <w:rPr>
                <w:sz w:val="18"/>
                <w:szCs w:val="18"/>
              </w:rPr>
              <w:t>C</w:t>
            </w:r>
            <w:r w:rsidR="00A1331E" w:rsidRPr="00C017FB">
              <w:rPr>
                <w:sz w:val="18"/>
                <w:szCs w:val="18"/>
              </w:rPr>
              <w:t>oefficient d’emplois sur ressources clientèle</w:t>
            </w:r>
            <w:r>
              <w:rPr>
                <w:sz w:val="18"/>
                <w:szCs w:val="18"/>
              </w:rPr>
              <w:t xml:space="preserve"> : </w:t>
            </w:r>
            <w:r w:rsidR="00C017FB" w:rsidRPr="00C017FB">
              <w:rPr>
                <w:b/>
                <w:sz w:val="18"/>
                <w:szCs w:val="18"/>
              </w:rPr>
              <w:t>119</w:t>
            </w:r>
            <w:r w:rsidR="00A1331E" w:rsidRPr="00C017FB">
              <w:rPr>
                <w:b/>
                <w:sz w:val="18"/>
                <w:szCs w:val="18"/>
              </w:rPr>
              <w:t xml:space="preserve"> %</w:t>
            </w:r>
            <w:bookmarkStart w:id="5" w:name="_Ref414027899"/>
            <w:r w:rsidR="00A1331E" w:rsidRPr="00C017FB">
              <w:rPr>
                <w:rStyle w:val="Appelnotedebasdep"/>
                <w:sz w:val="18"/>
                <w:szCs w:val="18"/>
              </w:rPr>
              <w:footnoteReference w:id="7"/>
            </w:r>
            <w:bookmarkEnd w:id="5"/>
            <w:r w:rsidR="00A1331E" w:rsidRPr="00C017FB">
              <w:rPr>
                <w:sz w:val="18"/>
                <w:szCs w:val="18"/>
              </w:rPr>
              <w:t xml:space="preserve"> au 30/06/2015, </w:t>
            </w:r>
            <w:r>
              <w:rPr>
                <w:sz w:val="18"/>
                <w:szCs w:val="18"/>
              </w:rPr>
              <w:t xml:space="preserve">(- </w:t>
            </w:r>
            <w:r w:rsidR="00C017FB" w:rsidRPr="00C017FB">
              <w:rPr>
                <w:sz w:val="18"/>
                <w:szCs w:val="18"/>
              </w:rPr>
              <w:t>2</w:t>
            </w:r>
            <w:r w:rsidR="00A1331E" w:rsidRPr="00C017FB">
              <w:rPr>
                <w:sz w:val="18"/>
                <w:szCs w:val="18"/>
              </w:rPr>
              <w:t xml:space="preserve"> points </w:t>
            </w:r>
            <w:r>
              <w:rPr>
                <w:sz w:val="18"/>
                <w:szCs w:val="18"/>
              </w:rPr>
              <w:t>depuis le</w:t>
            </w:r>
            <w:r w:rsidR="00164579" w:rsidRPr="00C017FB">
              <w:rPr>
                <w:sz w:val="18"/>
                <w:szCs w:val="18"/>
              </w:rPr>
              <w:t xml:space="preserve"> 31/12/</w:t>
            </w:r>
            <w:r w:rsidR="00A1331E" w:rsidRPr="00C017FB">
              <w:rPr>
                <w:sz w:val="18"/>
                <w:szCs w:val="18"/>
              </w:rPr>
              <w:t>2014</w:t>
            </w:r>
            <w:r>
              <w:rPr>
                <w:sz w:val="18"/>
                <w:szCs w:val="18"/>
              </w:rPr>
              <w:t>)</w:t>
            </w:r>
          </w:p>
          <w:p w:rsidR="00254D4F" w:rsidRPr="007F353A" w:rsidRDefault="00E23E8C" w:rsidP="00AE2587">
            <w:pPr>
              <w:pStyle w:val="2-TEXTECOURANTcommuniqu"/>
              <w:numPr>
                <w:ilvl w:val="2"/>
                <w:numId w:val="11"/>
              </w:numPr>
              <w:spacing w:before="40" w:after="120" w:line="240" w:lineRule="auto"/>
              <w:ind w:left="1135" w:hanging="284"/>
              <w:rPr>
                <w:sz w:val="18"/>
                <w:szCs w:val="18"/>
              </w:rPr>
            </w:pPr>
            <w:r>
              <w:rPr>
                <w:sz w:val="18"/>
                <w:szCs w:val="18"/>
              </w:rPr>
              <w:t>R</w:t>
            </w:r>
            <w:r w:rsidR="00A1331E" w:rsidRPr="00005BF5">
              <w:rPr>
                <w:sz w:val="18"/>
                <w:szCs w:val="18"/>
              </w:rPr>
              <w:t>éserve de liquidité</w:t>
            </w:r>
            <w:r>
              <w:rPr>
                <w:sz w:val="18"/>
                <w:szCs w:val="18"/>
              </w:rPr>
              <w:t xml:space="preserve"> : </w:t>
            </w:r>
            <w:r w:rsidR="00C017FB" w:rsidRPr="00807F1C">
              <w:rPr>
                <w:b/>
                <w:sz w:val="18"/>
                <w:szCs w:val="18"/>
              </w:rPr>
              <w:t>132</w:t>
            </w:r>
            <w:r w:rsidR="00A1331E" w:rsidRPr="00807F1C">
              <w:rPr>
                <w:b/>
                <w:sz w:val="18"/>
                <w:szCs w:val="18"/>
              </w:rPr>
              <w:t xml:space="preserve"> %</w:t>
            </w:r>
            <w:r w:rsidR="00A1331E" w:rsidRPr="00807F1C">
              <w:rPr>
                <w:sz w:val="18"/>
                <w:szCs w:val="18"/>
              </w:rPr>
              <w:t xml:space="preserve"> du refinancement CT et des tombées MLT et subordonnées ≤ 1 an au 30/06/2015,</w:t>
            </w:r>
            <w:r w:rsidR="00164579" w:rsidRPr="00807F1C">
              <w:rPr>
                <w:sz w:val="18"/>
                <w:szCs w:val="18"/>
              </w:rPr>
              <w:t xml:space="preserve"> </w:t>
            </w:r>
            <w:r>
              <w:rPr>
                <w:sz w:val="18"/>
                <w:szCs w:val="18"/>
              </w:rPr>
              <w:t>(+ </w:t>
            </w:r>
            <w:r w:rsidR="00C017FB" w:rsidRPr="00807F1C">
              <w:rPr>
                <w:sz w:val="18"/>
                <w:szCs w:val="18"/>
              </w:rPr>
              <w:t>12</w:t>
            </w:r>
            <w:r w:rsidR="00A1331E" w:rsidRPr="00807F1C">
              <w:rPr>
                <w:sz w:val="18"/>
                <w:szCs w:val="18"/>
              </w:rPr>
              <w:t xml:space="preserve"> points </w:t>
            </w:r>
            <w:r>
              <w:rPr>
                <w:sz w:val="18"/>
                <w:szCs w:val="18"/>
              </w:rPr>
              <w:t>depuis le</w:t>
            </w:r>
            <w:r w:rsidR="00164579" w:rsidRPr="00807F1C">
              <w:rPr>
                <w:sz w:val="18"/>
                <w:szCs w:val="18"/>
              </w:rPr>
              <w:t xml:space="preserve"> 31/12/</w:t>
            </w:r>
            <w:r w:rsidR="00A1331E" w:rsidRPr="00807F1C">
              <w:rPr>
                <w:sz w:val="18"/>
                <w:szCs w:val="18"/>
              </w:rPr>
              <w:t>2014</w:t>
            </w:r>
            <w:r>
              <w:rPr>
                <w:sz w:val="18"/>
                <w:szCs w:val="18"/>
              </w:rPr>
              <w:t>)</w:t>
            </w:r>
          </w:p>
        </w:tc>
      </w:tr>
    </w:tbl>
    <w:p w:rsidR="00C17DA4" w:rsidRPr="00A905D1" w:rsidRDefault="00C17DA4" w:rsidP="00C17DA4">
      <w:pPr>
        <w:rPr>
          <w:sz w:val="20"/>
          <w:szCs w:val="20"/>
        </w:rPr>
      </w:pPr>
    </w:p>
    <w:p w:rsidR="009945FC" w:rsidRPr="00803682" w:rsidRDefault="00B107F6" w:rsidP="00696668">
      <w:pPr>
        <w:pStyle w:val="2-TEXTECOURANTcommuniqu"/>
      </w:pPr>
      <w:r w:rsidRPr="00803682">
        <w:t xml:space="preserve">Le </w:t>
      </w:r>
      <w:r w:rsidR="00803682" w:rsidRPr="00803682">
        <w:t>30 juillet</w:t>
      </w:r>
      <w:r w:rsidR="00696668" w:rsidRPr="00803682">
        <w:t xml:space="preserve"> 2015, le conseil de surveillance du Groupe BPCE, présidé par </w:t>
      </w:r>
      <w:r w:rsidR="00A1331E">
        <w:t>Pierre Valentin</w:t>
      </w:r>
      <w:r w:rsidR="00696668" w:rsidRPr="00803682">
        <w:t>, a examiné</w:t>
      </w:r>
      <w:r w:rsidRPr="00803682">
        <w:t xml:space="preserve"> les comptes du groupe pour le </w:t>
      </w:r>
      <w:r w:rsidR="00803682" w:rsidRPr="00803682">
        <w:t>deuxième</w:t>
      </w:r>
      <w:r w:rsidRPr="00803682">
        <w:t xml:space="preserve"> </w:t>
      </w:r>
      <w:r w:rsidR="00696668" w:rsidRPr="00803682">
        <w:t xml:space="preserve">trimestre </w:t>
      </w:r>
      <w:r w:rsidR="00A90E30">
        <w:t>et le premier semestre 2015</w:t>
      </w:r>
      <w:r w:rsidR="00696668" w:rsidRPr="00803682">
        <w:t>.</w:t>
      </w:r>
    </w:p>
    <w:p w:rsidR="009945FC" w:rsidRPr="00FD1FEC" w:rsidRDefault="009945FC" w:rsidP="00696668">
      <w:pPr>
        <w:pStyle w:val="2-TEXTECOURANTcommuniqu"/>
        <w:rPr>
          <w:color w:val="FF0000"/>
        </w:rPr>
      </w:pPr>
    </w:p>
    <w:p w:rsidR="00751E50" w:rsidRDefault="00751E50" w:rsidP="00751E50">
      <w:pPr>
        <w:rPr>
          <w:sz w:val="20"/>
          <w:szCs w:val="20"/>
        </w:rPr>
      </w:pPr>
      <w:r>
        <w:rPr>
          <w:sz w:val="20"/>
          <w:szCs w:val="20"/>
        </w:rPr>
        <w:t xml:space="preserve">Pour François </w:t>
      </w:r>
      <w:proofErr w:type="spellStart"/>
      <w:r>
        <w:rPr>
          <w:sz w:val="20"/>
          <w:szCs w:val="20"/>
        </w:rPr>
        <w:t>Pérol</w:t>
      </w:r>
      <w:proofErr w:type="spellEnd"/>
      <w:r>
        <w:rPr>
          <w:sz w:val="20"/>
          <w:szCs w:val="20"/>
        </w:rPr>
        <w:t xml:space="preserve">, Président du directoire du Groupe BPCE, </w:t>
      </w:r>
      <w:r w:rsidRPr="008471ED">
        <w:rPr>
          <w:i/>
          <w:sz w:val="20"/>
          <w:szCs w:val="20"/>
        </w:rPr>
        <w:t xml:space="preserve">« Nos résultats pour le premier semestre 2015 confirment la bonne trajectoire du Groupe BPCE. Le résultat net (hors éléments non économiques et exceptionnels) s’élève à 1,76 milliard d’euros au premier semestre, en progression de 10 % par rapport à 2014. Les revenus de nos métiers </w:t>
      </w:r>
      <w:proofErr w:type="spellStart"/>
      <w:r w:rsidRPr="008471ED">
        <w:rPr>
          <w:i/>
          <w:sz w:val="20"/>
          <w:szCs w:val="20"/>
        </w:rPr>
        <w:t>coeurs</w:t>
      </w:r>
      <w:proofErr w:type="spellEnd"/>
      <w:r w:rsidRPr="008471ED">
        <w:rPr>
          <w:i/>
          <w:sz w:val="20"/>
          <w:szCs w:val="20"/>
        </w:rPr>
        <w:t xml:space="preserve"> ont augmenté de 7,2 %, avec une bonne dynamique commerciale des réseaux et du Crédit Foncier comme des activités de Natixis, dans un contexte de frais de gestion maitrisés (+ 2,7 %) et de stabilité du coût du risque. Le bilan du groupe continue de se renforcer, conformément aux objectifs inscrits dans le plan stratégique « Grandir autrement », avec une nouvelle amélioration sur le trimestre de nos ratios de solvabilité (12,4 % de fonds propres durs, + 20 </w:t>
      </w:r>
      <w:proofErr w:type="spellStart"/>
      <w:r w:rsidRPr="008471ED">
        <w:rPr>
          <w:i/>
          <w:sz w:val="20"/>
          <w:szCs w:val="20"/>
        </w:rPr>
        <w:t>pb</w:t>
      </w:r>
      <w:proofErr w:type="spellEnd"/>
      <w:r w:rsidRPr="008471ED">
        <w:rPr>
          <w:i/>
          <w:sz w:val="20"/>
          <w:szCs w:val="20"/>
        </w:rPr>
        <w:t xml:space="preserve"> ; 15,9 % de fonds propres totaux, + 20 </w:t>
      </w:r>
      <w:proofErr w:type="spellStart"/>
      <w:r w:rsidRPr="008471ED">
        <w:rPr>
          <w:i/>
          <w:sz w:val="20"/>
          <w:szCs w:val="20"/>
        </w:rPr>
        <w:t>pb</w:t>
      </w:r>
      <w:proofErr w:type="spellEnd"/>
      <w:r w:rsidRPr="008471ED">
        <w:rPr>
          <w:i/>
          <w:sz w:val="20"/>
          <w:szCs w:val="20"/>
        </w:rPr>
        <w:t xml:space="preserve">), du ratio de levier (4,8 %, + 20 </w:t>
      </w:r>
      <w:proofErr w:type="spellStart"/>
      <w:r w:rsidRPr="008471ED">
        <w:rPr>
          <w:i/>
          <w:sz w:val="20"/>
          <w:szCs w:val="20"/>
        </w:rPr>
        <w:t>pb</w:t>
      </w:r>
      <w:proofErr w:type="spellEnd"/>
      <w:r w:rsidRPr="008471ED">
        <w:rPr>
          <w:i/>
          <w:sz w:val="20"/>
          <w:szCs w:val="20"/>
        </w:rPr>
        <w:t>) et de nos réserves de liquidité qui couvrent désormais à 170 % nos besoins de refinancement court terme. Pour son sixième anniversaire, en cette fin juillet 2015, le Groupe BPCE témoigne de sa solidité et de son dynamisme ».</w:t>
      </w:r>
    </w:p>
    <w:p w:rsidR="006C2796" w:rsidRDefault="006C2796">
      <w:pPr>
        <w:pStyle w:val="2-TEXTECOURANTcommuniqu"/>
        <w:rPr>
          <w:i/>
          <w:color w:val="FF0000"/>
        </w:rPr>
      </w:pPr>
    </w:p>
    <w:p w:rsidR="006C2796" w:rsidRDefault="006C2796">
      <w:pPr>
        <w:pStyle w:val="2-TEXTECOURANTcommuniqu"/>
        <w:rPr>
          <w:i/>
          <w:color w:val="FF0000"/>
        </w:rPr>
      </w:pPr>
    </w:p>
    <w:p w:rsidR="006C2796" w:rsidRDefault="006C2796">
      <w:pPr>
        <w:jc w:val="left"/>
        <w:rPr>
          <w:rStyle w:val="orange"/>
          <w:b/>
          <w:spacing w:val="-4"/>
        </w:rPr>
      </w:pPr>
      <w:r>
        <w:rPr>
          <w:rStyle w:val="orange"/>
        </w:rPr>
        <w:br w:type="page"/>
      </w:r>
    </w:p>
    <w:p w:rsidR="00696668" w:rsidRPr="00415E6E" w:rsidRDefault="00696668" w:rsidP="00696668">
      <w:pPr>
        <w:pStyle w:val="3-Titre1"/>
      </w:pPr>
      <w:r w:rsidRPr="00415E6E">
        <w:rPr>
          <w:rStyle w:val="orange"/>
        </w:rPr>
        <w:lastRenderedPageBreak/>
        <w:t>1.</w:t>
      </w:r>
      <w:r w:rsidRPr="00415E6E">
        <w:tab/>
        <w:t>RÉSULTATS</w:t>
      </w:r>
      <w:bookmarkStart w:id="6" w:name="_Ref425872744"/>
      <w:r w:rsidR="006C2796">
        <w:rPr>
          <w:rStyle w:val="Appelnotedebasdep"/>
        </w:rPr>
        <w:footnoteReference w:id="8"/>
      </w:r>
      <w:bookmarkEnd w:id="6"/>
      <w:r w:rsidRPr="00415E6E">
        <w:t xml:space="preserve"> CONSOLIDÉS</w:t>
      </w:r>
      <w:r w:rsidR="00512D7E">
        <w:t xml:space="preserve"> DU GROUPE BPCE DU DEUXI</w:t>
      </w:r>
      <w:r w:rsidR="00C368F0" w:rsidRPr="00C368F0">
        <w:t>È</w:t>
      </w:r>
      <w:r w:rsidR="00512D7E">
        <w:t>ME</w:t>
      </w:r>
      <w:r w:rsidR="00C368F0">
        <w:t xml:space="preserve"> </w:t>
      </w:r>
      <w:r w:rsidR="00B25B9B">
        <w:t>T</w:t>
      </w:r>
      <w:r w:rsidR="00B107F6">
        <w:t xml:space="preserve">RIMESTRE </w:t>
      </w:r>
      <w:r w:rsidR="00512D7E">
        <w:t>ET DU PREMIER</w:t>
      </w:r>
      <w:r w:rsidR="00B25B9B">
        <w:t xml:space="preserve"> SEMESTRE 2015</w:t>
      </w:r>
    </w:p>
    <w:p w:rsidR="00D852E0" w:rsidRDefault="00D852E0" w:rsidP="00D852E0">
      <w:pPr>
        <w:pStyle w:val="2-TEXTECOURANTcommuniqu"/>
        <w:rPr>
          <w:spacing w:val="0"/>
        </w:rPr>
      </w:pPr>
      <w:r w:rsidRPr="00FF1A4E">
        <w:rPr>
          <w:spacing w:val="0"/>
        </w:rPr>
        <w:t xml:space="preserve">Le Groupe BPCE maintient sa performance au </w:t>
      </w:r>
      <w:r>
        <w:rPr>
          <w:spacing w:val="0"/>
        </w:rPr>
        <w:t>deuxième</w:t>
      </w:r>
      <w:r w:rsidRPr="00FF1A4E">
        <w:rPr>
          <w:spacing w:val="0"/>
        </w:rPr>
        <w:t xml:space="preserve"> trimestre 2015. Les revenu</w:t>
      </w:r>
      <w:r w:rsidR="006E6F26">
        <w:rPr>
          <w:spacing w:val="0"/>
        </w:rPr>
        <w:t>s</w:t>
      </w:r>
      <w:bookmarkStart w:id="7" w:name="_Ref426022220"/>
      <w:r w:rsidR="006E6F26">
        <w:rPr>
          <w:rStyle w:val="Appelnotedebasdep"/>
          <w:spacing w:val="0"/>
        </w:rPr>
        <w:footnoteReference w:id="9"/>
      </w:r>
      <w:bookmarkEnd w:id="7"/>
      <w:r w:rsidRPr="00FF1A4E">
        <w:rPr>
          <w:spacing w:val="0"/>
        </w:rPr>
        <w:t xml:space="preserve"> ont augmenté</w:t>
      </w:r>
      <w:r w:rsidR="00512D7E">
        <w:rPr>
          <w:spacing w:val="0"/>
        </w:rPr>
        <w:t xml:space="preserve"> </w:t>
      </w:r>
      <w:r w:rsidRPr="00FF1A4E">
        <w:rPr>
          <w:spacing w:val="0"/>
        </w:rPr>
        <w:t xml:space="preserve">de </w:t>
      </w:r>
      <w:r>
        <w:rPr>
          <w:spacing w:val="0"/>
        </w:rPr>
        <w:t>3</w:t>
      </w:r>
      <w:r w:rsidRPr="00512D7E">
        <w:rPr>
          <w:spacing w:val="0"/>
        </w:rPr>
        <w:t xml:space="preserve">,5 % </w:t>
      </w:r>
      <w:r w:rsidR="00512D7E">
        <w:rPr>
          <w:spacing w:val="0"/>
        </w:rPr>
        <w:t xml:space="preserve">sur un an </w:t>
      </w:r>
      <w:r w:rsidRPr="00512D7E">
        <w:rPr>
          <w:spacing w:val="0"/>
        </w:rPr>
        <w:t>et s’élèvent à 5 939 millions d’euros. Les revenu</w:t>
      </w:r>
      <w:r w:rsidR="006E6F26">
        <w:rPr>
          <w:spacing w:val="0"/>
        </w:rPr>
        <w:t>s</w:t>
      </w:r>
      <w:r w:rsidR="006E6F26">
        <w:rPr>
          <w:spacing w:val="0"/>
        </w:rPr>
        <w:fldChar w:fldCharType="begin"/>
      </w:r>
      <w:r w:rsidR="006E6F26">
        <w:rPr>
          <w:spacing w:val="0"/>
        </w:rPr>
        <w:instrText xml:space="preserve"> NOTEREF _Ref426022220 \f \h </w:instrText>
      </w:r>
      <w:r w:rsidR="006E6F26">
        <w:rPr>
          <w:spacing w:val="0"/>
        </w:rPr>
      </w:r>
      <w:r w:rsidR="006E6F26">
        <w:rPr>
          <w:spacing w:val="0"/>
        </w:rPr>
        <w:fldChar w:fldCharType="separate"/>
      </w:r>
      <w:r w:rsidR="00A92C86" w:rsidRPr="00A92C86">
        <w:rPr>
          <w:rStyle w:val="Appelnotedebasdep"/>
        </w:rPr>
        <w:t>9</w:t>
      </w:r>
      <w:r w:rsidR="006E6F26">
        <w:rPr>
          <w:spacing w:val="0"/>
        </w:rPr>
        <w:fldChar w:fldCharType="end"/>
      </w:r>
      <w:r w:rsidRPr="00512D7E">
        <w:rPr>
          <w:spacing w:val="0"/>
        </w:rPr>
        <w:t xml:space="preserve"> des métiers cœurs ont progressé de 6,3 % </w:t>
      </w:r>
      <w:r w:rsidR="00512D7E">
        <w:rPr>
          <w:spacing w:val="0"/>
        </w:rPr>
        <w:t xml:space="preserve">sur un an </w:t>
      </w:r>
      <w:r w:rsidR="00512D7E" w:rsidRPr="00512D7E">
        <w:rPr>
          <w:spacing w:val="0"/>
        </w:rPr>
        <w:t>(3,7 </w:t>
      </w:r>
      <w:r w:rsidRPr="00512D7E">
        <w:rPr>
          <w:spacing w:val="0"/>
        </w:rPr>
        <w:t>% à change constant), s’établissant à 5</w:t>
      </w:r>
      <w:r w:rsidR="00512D7E">
        <w:rPr>
          <w:spacing w:val="0"/>
        </w:rPr>
        <w:t> </w:t>
      </w:r>
      <w:r w:rsidR="0079430C" w:rsidRPr="00512D7E">
        <w:rPr>
          <w:spacing w:val="0"/>
        </w:rPr>
        <w:t>911</w:t>
      </w:r>
      <w:r w:rsidRPr="00512D7E">
        <w:rPr>
          <w:spacing w:val="0"/>
        </w:rPr>
        <w:t> millions d’euros.</w:t>
      </w:r>
      <w:r w:rsidR="00871249">
        <w:rPr>
          <w:spacing w:val="0"/>
        </w:rPr>
        <w:t xml:space="preserve"> </w:t>
      </w:r>
      <w:r w:rsidRPr="00512D7E">
        <w:rPr>
          <w:spacing w:val="0"/>
        </w:rPr>
        <w:t>Sur le premier semestre 2015, les revenu</w:t>
      </w:r>
      <w:r w:rsidR="006E6F26">
        <w:rPr>
          <w:spacing w:val="0"/>
        </w:rPr>
        <w:t>s</w:t>
      </w:r>
      <w:r w:rsidR="006E6F26">
        <w:rPr>
          <w:spacing w:val="0"/>
        </w:rPr>
        <w:fldChar w:fldCharType="begin"/>
      </w:r>
      <w:r w:rsidR="006E6F26">
        <w:rPr>
          <w:spacing w:val="0"/>
        </w:rPr>
        <w:instrText xml:space="preserve"> NOTEREF _Ref426022220 \f \h </w:instrText>
      </w:r>
      <w:r w:rsidR="006E6F26">
        <w:rPr>
          <w:spacing w:val="0"/>
        </w:rPr>
      </w:r>
      <w:r w:rsidR="006E6F26">
        <w:rPr>
          <w:spacing w:val="0"/>
        </w:rPr>
        <w:fldChar w:fldCharType="separate"/>
      </w:r>
      <w:r w:rsidR="00A92C86" w:rsidRPr="00A92C86">
        <w:rPr>
          <w:rStyle w:val="Appelnotedebasdep"/>
        </w:rPr>
        <w:t>9</w:t>
      </w:r>
      <w:r w:rsidR="006E6F26">
        <w:rPr>
          <w:spacing w:val="0"/>
        </w:rPr>
        <w:fldChar w:fldCharType="end"/>
      </w:r>
      <w:r w:rsidR="006E6F26">
        <w:rPr>
          <w:spacing w:val="0"/>
        </w:rPr>
        <w:t xml:space="preserve"> </w:t>
      </w:r>
      <w:r w:rsidRPr="00512D7E">
        <w:rPr>
          <w:spacing w:val="0"/>
        </w:rPr>
        <w:t>ont progressé de 6,7 % en un an et s’élèvent à 12</w:t>
      </w:r>
      <w:r w:rsidR="00512D7E">
        <w:rPr>
          <w:spacing w:val="0"/>
        </w:rPr>
        <w:t> </w:t>
      </w:r>
      <w:r w:rsidRPr="00512D7E">
        <w:rPr>
          <w:spacing w:val="0"/>
        </w:rPr>
        <w:t>143 millions d’euros. Les revenu</w:t>
      </w:r>
      <w:r w:rsidR="006E6F26">
        <w:rPr>
          <w:spacing w:val="0"/>
        </w:rPr>
        <w:t>s</w:t>
      </w:r>
      <w:r w:rsidR="006E6F26">
        <w:rPr>
          <w:spacing w:val="0"/>
        </w:rPr>
        <w:fldChar w:fldCharType="begin"/>
      </w:r>
      <w:r w:rsidR="006E6F26">
        <w:rPr>
          <w:spacing w:val="0"/>
        </w:rPr>
        <w:instrText xml:space="preserve"> NOTEREF _Ref426022220 \f \h </w:instrText>
      </w:r>
      <w:r w:rsidR="006E6F26">
        <w:rPr>
          <w:spacing w:val="0"/>
        </w:rPr>
      </w:r>
      <w:r w:rsidR="006E6F26">
        <w:rPr>
          <w:spacing w:val="0"/>
        </w:rPr>
        <w:fldChar w:fldCharType="separate"/>
      </w:r>
      <w:r w:rsidR="00A92C86" w:rsidRPr="00A92C86">
        <w:rPr>
          <w:rStyle w:val="Appelnotedebasdep"/>
        </w:rPr>
        <w:t>9</w:t>
      </w:r>
      <w:r w:rsidR="006E6F26">
        <w:rPr>
          <w:spacing w:val="0"/>
        </w:rPr>
        <w:fldChar w:fldCharType="end"/>
      </w:r>
      <w:r w:rsidR="006E6F26">
        <w:rPr>
          <w:spacing w:val="0"/>
        </w:rPr>
        <w:t xml:space="preserve"> </w:t>
      </w:r>
      <w:r w:rsidRPr="00512D7E">
        <w:rPr>
          <w:spacing w:val="0"/>
        </w:rPr>
        <w:t xml:space="preserve">des métiers cœurs ont progressé de 7,2 % </w:t>
      </w:r>
      <w:r w:rsidR="00512D7E" w:rsidRPr="00512D7E">
        <w:rPr>
          <w:spacing w:val="0"/>
        </w:rPr>
        <w:t>(4,5</w:t>
      </w:r>
      <w:r w:rsidRPr="00512D7E">
        <w:rPr>
          <w:spacing w:val="0"/>
        </w:rPr>
        <w:t xml:space="preserve"> % à change constant), s’établissant </w:t>
      </w:r>
      <w:r w:rsidRPr="00FF1A4E">
        <w:rPr>
          <w:spacing w:val="0"/>
        </w:rPr>
        <w:t xml:space="preserve">à </w:t>
      </w:r>
      <w:r>
        <w:rPr>
          <w:spacing w:val="0"/>
        </w:rPr>
        <w:t>11</w:t>
      </w:r>
      <w:r w:rsidRPr="00FF1A4E">
        <w:rPr>
          <w:spacing w:val="0"/>
        </w:rPr>
        <w:t xml:space="preserve"> </w:t>
      </w:r>
      <w:r>
        <w:rPr>
          <w:spacing w:val="0"/>
        </w:rPr>
        <w:t>815</w:t>
      </w:r>
      <w:r w:rsidRPr="00FF1A4E">
        <w:rPr>
          <w:spacing w:val="0"/>
        </w:rPr>
        <w:t> millions d’euros.</w:t>
      </w:r>
    </w:p>
    <w:p w:rsidR="002E53DC" w:rsidRPr="00FD1FEC" w:rsidRDefault="002E53DC" w:rsidP="00696668">
      <w:pPr>
        <w:pStyle w:val="2-TEXTECOURANTcommuniqu"/>
        <w:rPr>
          <w:color w:val="FF0000"/>
          <w:spacing w:val="0"/>
        </w:rPr>
      </w:pPr>
    </w:p>
    <w:p w:rsidR="00BA087E" w:rsidRPr="00082CED" w:rsidRDefault="00BA087E" w:rsidP="00BA087E">
      <w:pPr>
        <w:pStyle w:val="2-TEXTECOURANTcommuniqu"/>
        <w:rPr>
          <w:spacing w:val="0"/>
        </w:rPr>
      </w:pPr>
      <w:r w:rsidRPr="00082CED">
        <w:rPr>
          <w:spacing w:val="0"/>
        </w:rPr>
        <w:t xml:space="preserve">Le Groupe BPCE </w:t>
      </w:r>
      <w:r w:rsidR="006B6EF0">
        <w:rPr>
          <w:spacing w:val="0"/>
        </w:rPr>
        <w:t>poursuit</w:t>
      </w:r>
      <w:r w:rsidR="00512D7E">
        <w:rPr>
          <w:spacing w:val="0"/>
        </w:rPr>
        <w:t xml:space="preserve"> le renforcement de son bilan</w:t>
      </w:r>
      <w:r w:rsidRPr="00082CED">
        <w:rPr>
          <w:spacing w:val="0"/>
        </w:rPr>
        <w:t>, avec</w:t>
      </w:r>
      <w:r w:rsidR="00512D7E">
        <w:rPr>
          <w:spacing w:val="0"/>
        </w:rPr>
        <w:t xml:space="preserve"> un ratio de </w:t>
      </w:r>
      <w:r w:rsidR="00512D7E" w:rsidRPr="00EB02C3">
        <w:rPr>
          <w:i/>
          <w:spacing w:val="0"/>
        </w:rPr>
        <w:t>Common Equity Tier </w:t>
      </w:r>
      <w:r w:rsidRPr="00EB02C3">
        <w:rPr>
          <w:i/>
          <w:spacing w:val="0"/>
        </w:rPr>
        <w:t>1</w:t>
      </w:r>
      <w:r w:rsidRPr="00082CED">
        <w:rPr>
          <w:spacing w:val="0"/>
        </w:rPr>
        <w:t xml:space="preserve"> (CET1) de 12,4 %</w:t>
      </w:r>
      <w:bookmarkStart w:id="8" w:name="_Ref425936565"/>
      <w:r w:rsidR="00BC32B2">
        <w:rPr>
          <w:rStyle w:val="Appelnotedebasdep"/>
          <w:spacing w:val="0"/>
        </w:rPr>
        <w:footnoteReference w:id="10"/>
      </w:r>
      <w:bookmarkEnd w:id="8"/>
      <w:r w:rsidRPr="00082CED">
        <w:rPr>
          <w:spacing w:val="0"/>
        </w:rPr>
        <w:t xml:space="preserve"> au 30 juin 2015, en augmentation de 20 points de base par rapport au 31 mars 2015, et un ratio de solvabilité global de 15,9 </w:t>
      </w:r>
      <w:r w:rsidR="006E6F26">
        <w:rPr>
          <w:spacing w:val="0"/>
        </w:rPr>
        <w:t>%</w:t>
      </w:r>
      <w:r w:rsidR="006E6F26">
        <w:rPr>
          <w:spacing w:val="0"/>
        </w:rPr>
        <w:fldChar w:fldCharType="begin"/>
      </w:r>
      <w:r w:rsidR="006E6F26">
        <w:rPr>
          <w:spacing w:val="0"/>
        </w:rPr>
        <w:instrText xml:space="preserve"> NOTEREF _Ref425936565 \f \h </w:instrText>
      </w:r>
      <w:r w:rsidR="006E6F26">
        <w:rPr>
          <w:spacing w:val="0"/>
        </w:rPr>
      </w:r>
      <w:r w:rsidR="006E6F26">
        <w:rPr>
          <w:spacing w:val="0"/>
        </w:rPr>
        <w:fldChar w:fldCharType="separate"/>
      </w:r>
      <w:r w:rsidR="00A92C86" w:rsidRPr="00A92C86">
        <w:rPr>
          <w:rStyle w:val="Appelnotedebasdep"/>
        </w:rPr>
        <w:t>10</w:t>
      </w:r>
      <w:r w:rsidR="006E6F26">
        <w:rPr>
          <w:spacing w:val="0"/>
        </w:rPr>
        <w:fldChar w:fldCharType="end"/>
      </w:r>
      <w:r w:rsidRPr="00082CED">
        <w:rPr>
          <w:spacing w:val="0"/>
        </w:rPr>
        <w:t>, en hausse de 20 points de base par rapport au 31 mars</w:t>
      </w:r>
      <w:r w:rsidR="009D567E">
        <w:rPr>
          <w:spacing w:val="0"/>
        </w:rPr>
        <w:t xml:space="preserve"> 2015</w:t>
      </w:r>
      <w:r w:rsidRPr="00082CED">
        <w:rPr>
          <w:spacing w:val="0"/>
        </w:rPr>
        <w:t>. Au 30 juin 2015, le ratio de levier</w:t>
      </w:r>
      <w:r w:rsidR="00BC32B2">
        <w:rPr>
          <w:rStyle w:val="Appelnotedebasdep"/>
          <w:spacing w:val="0"/>
        </w:rPr>
        <w:footnoteReference w:id="11"/>
      </w:r>
      <w:r w:rsidRPr="00082CED">
        <w:rPr>
          <w:spacing w:val="0"/>
        </w:rPr>
        <w:t xml:space="preserve"> du groupe s’établit à 4,8 %, en hausse de 20 points de </w:t>
      </w:r>
      <w:r w:rsidR="00C70471">
        <w:rPr>
          <w:spacing w:val="0"/>
        </w:rPr>
        <w:t xml:space="preserve">base </w:t>
      </w:r>
      <w:r w:rsidRPr="00082CED">
        <w:rPr>
          <w:spacing w:val="0"/>
        </w:rPr>
        <w:t>par rapport au 31 mars 2015.</w:t>
      </w:r>
    </w:p>
    <w:p w:rsidR="00BA087E" w:rsidRPr="00082CED" w:rsidRDefault="00BA087E" w:rsidP="00BA087E">
      <w:pPr>
        <w:pStyle w:val="2-TEXTECOURANTcommuniqu"/>
        <w:rPr>
          <w:spacing w:val="0"/>
        </w:rPr>
      </w:pPr>
    </w:p>
    <w:p w:rsidR="00D95939" w:rsidRDefault="00184182" w:rsidP="00DA68D8">
      <w:pPr>
        <w:rPr>
          <w:color w:val="FF0000"/>
          <w:sz w:val="20"/>
          <w:szCs w:val="20"/>
        </w:rPr>
      </w:pPr>
      <w:r>
        <w:rPr>
          <w:sz w:val="20"/>
          <w:szCs w:val="20"/>
        </w:rPr>
        <w:t>La liquidité est</w:t>
      </w:r>
      <w:r w:rsidR="00696668" w:rsidRPr="00184182">
        <w:rPr>
          <w:sz w:val="20"/>
          <w:szCs w:val="20"/>
        </w:rPr>
        <w:t xml:space="preserve"> renforcée, avec </w:t>
      </w:r>
      <w:r w:rsidR="00696668" w:rsidRPr="0000380E">
        <w:rPr>
          <w:sz w:val="20"/>
          <w:szCs w:val="20"/>
        </w:rPr>
        <w:t xml:space="preserve">un coefficient </w:t>
      </w:r>
      <w:r w:rsidR="00B74F1A" w:rsidRPr="0000380E">
        <w:rPr>
          <w:sz w:val="20"/>
          <w:szCs w:val="20"/>
        </w:rPr>
        <w:t>d’</w:t>
      </w:r>
      <w:r w:rsidR="00696668" w:rsidRPr="0000380E">
        <w:rPr>
          <w:sz w:val="20"/>
          <w:szCs w:val="20"/>
        </w:rPr>
        <w:t xml:space="preserve">emplois sur ressources clientèle à </w:t>
      </w:r>
      <w:r w:rsidR="00391739" w:rsidRPr="0000380E">
        <w:rPr>
          <w:sz w:val="20"/>
          <w:szCs w:val="20"/>
        </w:rPr>
        <w:t xml:space="preserve">119 </w:t>
      </w:r>
      <w:r w:rsidR="00696668" w:rsidRPr="0000380E">
        <w:rPr>
          <w:sz w:val="20"/>
          <w:szCs w:val="20"/>
        </w:rPr>
        <w:t>%</w:t>
      </w:r>
      <w:r w:rsidR="00BC32B2">
        <w:rPr>
          <w:rStyle w:val="Appelnotedebasdep"/>
          <w:sz w:val="20"/>
          <w:szCs w:val="20"/>
        </w:rPr>
        <w:footnoteReference w:id="12"/>
      </w:r>
      <w:r w:rsidR="00696668" w:rsidRPr="0000380E">
        <w:rPr>
          <w:sz w:val="20"/>
          <w:szCs w:val="20"/>
        </w:rPr>
        <w:t xml:space="preserve"> au </w:t>
      </w:r>
      <w:r w:rsidR="0000380E" w:rsidRPr="0000380E">
        <w:rPr>
          <w:sz w:val="20"/>
          <w:szCs w:val="20"/>
        </w:rPr>
        <w:t>30 juin 2015</w:t>
      </w:r>
      <w:r w:rsidR="00696668" w:rsidRPr="0000380E">
        <w:rPr>
          <w:sz w:val="20"/>
          <w:szCs w:val="20"/>
        </w:rPr>
        <w:t xml:space="preserve">. </w:t>
      </w:r>
      <w:r w:rsidR="00696668" w:rsidRPr="00E518B2">
        <w:rPr>
          <w:sz w:val="20"/>
          <w:szCs w:val="20"/>
        </w:rPr>
        <w:t>Les réserves de l</w:t>
      </w:r>
      <w:r w:rsidR="00491E5A" w:rsidRPr="00E518B2">
        <w:rPr>
          <w:sz w:val="20"/>
          <w:szCs w:val="20"/>
        </w:rPr>
        <w:t xml:space="preserve">iquidité couvrent largement </w:t>
      </w:r>
      <w:r w:rsidR="00696668" w:rsidRPr="00E518B2">
        <w:rPr>
          <w:sz w:val="20"/>
          <w:szCs w:val="20"/>
        </w:rPr>
        <w:t>le refinancement à court terme ainsi que les tombées moyen-long terme et subordonnées inférieures ou égales à un an</w:t>
      </w:r>
      <w:r w:rsidR="00DB5267" w:rsidRPr="00E518B2">
        <w:rPr>
          <w:sz w:val="20"/>
          <w:szCs w:val="20"/>
        </w:rPr>
        <w:t xml:space="preserve"> (1</w:t>
      </w:r>
      <w:r w:rsidR="00E518B2" w:rsidRPr="00E518B2">
        <w:rPr>
          <w:sz w:val="20"/>
          <w:szCs w:val="20"/>
        </w:rPr>
        <w:t>32</w:t>
      </w:r>
      <w:r w:rsidR="00C368F0">
        <w:rPr>
          <w:sz w:val="20"/>
          <w:szCs w:val="20"/>
        </w:rPr>
        <w:t> </w:t>
      </w:r>
      <w:r w:rsidR="00DB5267" w:rsidRPr="00E518B2">
        <w:rPr>
          <w:sz w:val="20"/>
          <w:szCs w:val="20"/>
        </w:rPr>
        <w:t xml:space="preserve">% soit une augmentation de </w:t>
      </w:r>
      <w:r w:rsidR="00C368F0">
        <w:rPr>
          <w:sz w:val="20"/>
          <w:szCs w:val="20"/>
        </w:rPr>
        <w:t>12</w:t>
      </w:r>
      <w:r w:rsidR="00DB5267" w:rsidRPr="00E518B2">
        <w:rPr>
          <w:sz w:val="20"/>
          <w:szCs w:val="20"/>
        </w:rPr>
        <w:t xml:space="preserve"> points par rapport à fin </w:t>
      </w:r>
      <w:r w:rsidR="00C368F0">
        <w:rPr>
          <w:sz w:val="20"/>
          <w:szCs w:val="20"/>
        </w:rPr>
        <w:t xml:space="preserve">décembre </w:t>
      </w:r>
      <w:r w:rsidR="00DB5267" w:rsidRPr="00E518B2">
        <w:rPr>
          <w:sz w:val="20"/>
          <w:szCs w:val="20"/>
        </w:rPr>
        <w:t>2014)</w:t>
      </w:r>
      <w:r w:rsidR="00696668" w:rsidRPr="00E518B2">
        <w:rPr>
          <w:sz w:val="20"/>
          <w:szCs w:val="20"/>
        </w:rPr>
        <w:t>.</w:t>
      </w:r>
    </w:p>
    <w:p w:rsidR="00C0664D" w:rsidRDefault="00C0664D" w:rsidP="00DA68D8">
      <w:pPr>
        <w:rPr>
          <w:color w:val="FF0000"/>
          <w:sz w:val="20"/>
          <w:szCs w:val="20"/>
        </w:rPr>
      </w:pPr>
    </w:p>
    <w:p w:rsidR="00C0664D" w:rsidRPr="008A0E36" w:rsidRDefault="00C0664D" w:rsidP="00653FBC">
      <w:pPr>
        <w:pStyle w:val="4-Soustitre"/>
        <w:rPr>
          <w:spacing w:val="-5"/>
        </w:rPr>
      </w:pPr>
      <w:r w:rsidRPr="00653FBC">
        <w:rPr>
          <w:spacing w:val="-5"/>
        </w:rPr>
        <w:t>Plan stratégique 20</w:t>
      </w:r>
      <w:r w:rsidR="008A0E36">
        <w:rPr>
          <w:spacing w:val="-5"/>
        </w:rPr>
        <w:t>14-2017</w:t>
      </w:r>
      <w:r w:rsidR="008B1FF9">
        <w:rPr>
          <w:spacing w:val="-5"/>
        </w:rPr>
        <w:t xml:space="preserve"> “</w:t>
      </w:r>
      <w:r w:rsidR="008A0E36">
        <w:rPr>
          <w:spacing w:val="-5"/>
        </w:rPr>
        <w:t>Grandir A</w:t>
      </w:r>
      <w:r w:rsidR="00FF552A" w:rsidRPr="00653FBC">
        <w:rPr>
          <w:spacing w:val="-5"/>
        </w:rPr>
        <w:t>utrement</w:t>
      </w:r>
      <w:r w:rsidR="008B1FF9">
        <w:rPr>
          <w:spacing w:val="-5"/>
        </w:rPr>
        <w:t>”</w:t>
      </w:r>
      <w:r w:rsidR="008A0E36">
        <w:rPr>
          <w:spacing w:val="0"/>
        </w:rPr>
        <w:t xml:space="preserve"> : </w:t>
      </w:r>
      <w:r w:rsidR="00FF552A" w:rsidRPr="008A0E36">
        <w:rPr>
          <w:spacing w:val="0"/>
        </w:rPr>
        <w:t>les synergies de revenus et de coûts en ligne avec les objectifs</w:t>
      </w:r>
      <w:r w:rsidR="00FF552A" w:rsidRPr="008A0E36">
        <w:rPr>
          <w:spacing w:val="-14"/>
        </w:rPr>
        <w:t xml:space="preserve"> </w:t>
      </w:r>
    </w:p>
    <w:p w:rsidR="00C0664D" w:rsidRPr="00C0664D" w:rsidRDefault="00C0664D" w:rsidP="00C0664D">
      <w:pPr>
        <w:rPr>
          <w:sz w:val="20"/>
          <w:szCs w:val="20"/>
          <w:lang w:eastAsia="en-US"/>
        </w:rPr>
      </w:pPr>
      <w:r w:rsidRPr="00C0664D">
        <w:rPr>
          <w:sz w:val="20"/>
          <w:szCs w:val="20"/>
          <w:lang w:eastAsia="en-US"/>
        </w:rPr>
        <w:t>Les synergies de revenus et de coûts sont en ligne avec les objectifs</w:t>
      </w:r>
      <w:r w:rsidR="00512D7E">
        <w:rPr>
          <w:sz w:val="20"/>
          <w:szCs w:val="20"/>
          <w:lang w:eastAsia="en-US"/>
        </w:rPr>
        <w:t xml:space="preserve"> fixés par le plan stratégique 2014-2017 </w:t>
      </w:r>
      <w:r w:rsidRPr="00C0664D">
        <w:rPr>
          <w:sz w:val="20"/>
          <w:szCs w:val="20"/>
          <w:lang w:eastAsia="en-US"/>
        </w:rPr>
        <w:t>du Groupe BPCE. Ainsi</w:t>
      </w:r>
      <w:r w:rsidR="00A155BC">
        <w:rPr>
          <w:sz w:val="20"/>
          <w:szCs w:val="20"/>
          <w:lang w:eastAsia="en-US"/>
        </w:rPr>
        <w:t xml:space="preserve">, </w:t>
      </w:r>
      <w:r w:rsidRPr="00C0664D">
        <w:rPr>
          <w:sz w:val="20"/>
          <w:szCs w:val="20"/>
          <w:lang w:eastAsia="en-US"/>
        </w:rPr>
        <w:t xml:space="preserve">326 millions d’euros </w:t>
      </w:r>
      <w:r>
        <w:rPr>
          <w:sz w:val="20"/>
          <w:szCs w:val="20"/>
          <w:lang w:eastAsia="en-US"/>
        </w:rPr>
        <w:t xml:space="preserve">de revenus </w:t>
      </w:r>
      <w:r w:rsidRPr="00C0664D">
        <w:rPr>
          <w:sz w:val="20"/>
          <w:szCs w:val="20"/>
          <w:lang w:eastAsia="en-US"/>
        </w:rPr>
        <w:t xml:space="preserve">supplémentaires entre les Banques Populaires, les Caisses d’Epargne et Natixis </w:t>
      </w:r>
      <w:r>
        <w:rPr>
          <w:sz w:val="20"/>
          <w:szCs w:val="20"/>
          <w:lang w:eastAsia="en-US"/>
        </w:rPr>
        <w:t xml:space="preserve">ont été </w:t>
      </w:r>
      <w:r w:rsidR="000018E0">
        <w:rPr>
          <w:sz w:val="20"/>
          <w:szCs w:val="20"/>
          <w:lang w:eastAsia="en-US"/>
        </w:rPr>
        <w:t>comptabilisés</w:t>
      </w:r>
      <w:r w:rsidR="00A155BC">
        <w:rPr>
          <w:sz w:val="20"/>
          <w:szCs w:val="20"/>
          <w:lang w:eastAsia="en-US"/>
        </w:rPr>
        <w:t xml:space="preserve"> </w:t>
      </w:r>
      <w:r w:rsidRPr="00C0664D">
        <w:rPr>
          <w:sz w:val="20"/>
          <w:szCs w:val="20"/>
          <w:lang w:eastAsia="en-US"/>
        </w:rPr>
        <w:t xml:space="preserve">au 30 juin 2015 pour un objectif de 870 millions d’euros à </w:t>
      </w:r>
      <w:r>
        <w:rPr>
          <w:sz w:val="20"/>
          <w:szCs w:val="20"/>
          <w:lang w:eastAsia="en-US"/>
        </w:rPr>
        <w:t>l’</w:t>
      </w:r>
      <w:r w:rsidRPr="00C0664D">
        <w:rPr>
          <w:sz w:val="20"/>
          <w:szCs w:val="20"/>
          <w:lang w:eastAsia="en-US"/>
        </w:rPr>
        <w:t xml:space="preserve">horizon 2017. </w:t>
      </w:r>
      <w:r w:rsidR="00512D7E">
        <w:rPr>
          <w:sz w:val="20"/>
          <w:szCs w:val="20"/>
          <w:lang w:eastAsia="en-US"/>
        </w:rPr>
        <w:t xml:space="preserve">L’assurance contribue à hauteur de 57 % </w:t>
      </w:r>
      <w:r w:rsidR="00512D7E" w:rsidRPr="00FF6520">
        <w:rPr>
          <w:sz w:val="20"/>
          <w:szCs w:val="20"/>
          <w:lang w:eastAsia="en-US"/>
        </w:rPr>
        <w:t xml:space="preserve">à </w:t>
      </w:r>
      <w:r w:rsidRPr="00FF6520">
        <w:rPr>
          <w:sz w:val="20"/>
          <w:szCs w:val="20"/>
          <w:lang w:eastAsia="en-US"/>
        </w:rPr>
        <w:t xml:space="preserve">ces synergies </w:t>
      </w:r>
      <w:r w:rsidR="009C4976" w:rsidRPr="00FF6520">
        <w:rPr>
          <w:sz w:val="20"/>
          <w:szCs w:val="20"/>
          <w:lang w:eastAsia="en-US"/>
        </w:rPr>
        <w:t>de revenus</w:t>
      </w:r>
      <w:r w:rsidR="00A155BC" w:rsidRPr="00FF6520">
        <w:rPr>
          <w:sz w:val="20"/>
          <w:szCs w:val="20"/>
          <w:lang w:eastAsia="en-US"/>
        </w:rPr>
        <w:t xml:space="preserve">, </w:t>
      </w:r>
      <w:r w:rsidRPr="00FF6520">
        <w:rPr>
          <w:sz w:val="20"/>
          <w:szCs w:val="20"/>
          <w:lang w:eastAsia="en-US"/>
        </w:rPr>
        <w:t>le crédit à la consommation</w:t>
      </w:r>
      <w:r w:rsidR="001A7625">
        <w:rPr>
          <w:sz w:val="20"/>
          <w:szCs w:val="20"/>
          <w:lang w:eastAsia="en-US"/>
        </w:rPr>
        <w:t>,</w:t>
      </w:r>
      <w:r w:rsidR="00FF6520">
        <w:rPr>
          <w:sz w:val="20"/>
          <w:szCs w:val="20"/>
          <w:lang w:eastAsia="en-US"/>
        </w:rPr>
        <w:t xml:space="preserve"> à hauteur de </w:t>
      </w:r>
      <w:r w:rsidRPr="00FF6520">
        <w:rPr>
          <w:sz w:val="20"/>
          <w:szCs w:val="20"/>
          <w:lang w:eastAsia="en-US"/>
        </w:rPr>
        <w:t>29 %</w:t>
      </w:r>
      <w:r w:rsidR="00FF6520" w:rsidRPr="00FF6520">
        <w:rPr>
          <w:sz w:val="20"/>
          <w:szCs w:val="20"/>
          <w:lang w:eastAsia="en-US"/>
        </w:rPr>
        <w:t xml:space="preserve">, et les autres </w:t>
      </w:r>
      <w:r w:rsidR="00FF6520">
        <w:rPr>
          <w:sz w:val="20"/>
          <w:szCs w:val="20"/>
          <w:lang w:eastAsia="en-US"/>
        </w:rPr>
        <w:t>métiers pour</w:t>
      </w:r>
      <w:r w:rsidR="00FF6520" w:rsidRPr="00FF6520">
        <w:rPr>
          <w:sz w:val="20"/>
          <w:szCs w:val="20"/>
          <w:lang w:eastAsia="en-US"/>
        </w:rPr>
        <w:t xml:space="preserve"> 14 %.</w:t>
      </w:r>
    </w:p>
    <w:p w:rsidR="00C0664D" w:rsidRPr="00C0664D" w:rsidRDefault="00C0664D" w:rsidP="00C0664D">
      <w:pPr>
        <w:rPr>
          <w:sz w:val="20"/>
          <w:szCs w:val="20"/>
          <w:lang w:eastAsia="en-US"/>
        </w:rPr>
      </w:pPr>
    </w:p>
    <w:p w:rsidR="009D1FBA" w:rsidRDefault="00C0664D" w:rsidP="00C0664D">
      <w:pPr>
        <w:rPr>
          <w:sz w:val="20"/>
          <w:szCs w:val="20"/>
          <w:lang w:eastAsia="en-US"/>
        </w:rPr>
      </w:pPr>
      <w:r w:rsidRPr="00C0664D">
        <w:rPr>
          <w:sz w:val="20"/>
          <w:szCs w:val="20"/>
          <w:lang w:eastAsia="en-US"/>
        </w:rPr>
        <w:t>Du côté des synergies de coûts, 322 millions d’euros d’économie</w:t>
      </w:r>
      <w:r w:rsidR="00D758D2">
        <w:rPr>
          <w:sz w:val="20"/>
          <w:szCs w:val="20"/>
          <w:lang w:eastAsia="en-US"/>
        </w:rPr>
        <w:t>s</w:t>
      </w:r>
      <w:r w:rsidRPr="00C0664D">
        <w:rPr>
          <w:sz w:val="20"/>
          <w:szCs w:val="20"/>
          <w:lang w:eastAsia="en-US"/>
        </w:rPr>
        <w:t xml:space="preserve"> ont été enregistrés au 30</w:t>
      </w:r>
      <w:r w:rsidR="00FF6520">
        <w:rPr>
          <w:sz w:val="20"/>
          <w:szCs w:val="20"/>
          <w:lang w:eastAsia="en-US"/>
        </w:rPr>
        <w:t> </w:t>
      </w:r>
      <w:r w:rsidRPr="00C0664D">
        <w:rPr>
          <w:sz w:val="20"/>
          <w:szCs w:val="20"/>
          <w:lang w:eastAsia="en-US"/>
        </w:rPr>
        <w:t xml:space="preserve">juin 2015 pour un objectif de 900 millions d’euros à </w:t>
      </w:r>
      <w:r>
        <w:rPr>
          <w:sz w:val="20"/>
          <w:szCs w:val="20"/>
          <w:lang w:eastAsia="en-US"/>
        </w:rPr>
        <w:t>l’</w:t>
      </w:r>
      <w:r w:rsidRPr="00C0664D">
        <w:rPr>
          <w:sz w:val="20"/>
          <w:szCs w:val="20"/>
          <w:lang w:eastAsia="en-US"/>
        </w:rPr>
        <w:t xml:space="preserve">horizon 2017. </w:t>
      </w:r>
    </w:p>
    <w:p w:rsidR="009D1FBA" w:rsidRDefault="009D1FBA" w:rsidP="00C0664D">
      <w:pPr>
        <w:rPr>
          <w:sz w:val="20"/>
          <w:szCs w:val="20"/>
          <w:lang w:eastAsia="en-US"/>
        </w:rPr>
      </w:pPr>
    </w:p>
    <w:p w:rsidR="00C0664D" w:rsidRPr="00C0664D" w:rsidRDefault="009D1FBA" w:rsidP="00C0664D">
      <w:pPr>
        <w:rPr>
          <w:sz w:val="20"/>
          <w:szCs w:val="20"/>
          <w:lang w:eastAsia="en-US"/>
        </w:rPr>
      </w:pPr>
      <w:r>
        <w:rPr>
          <w:sz w:val="20"/>
          <w:szCs w:val="20"/>
          <w:lang w:eastAsia="en-US"/>
        </w:rPr>
        <w:t>L</w:t>
      </w:r>
      <w:r w:rsidR="00C0664D" w:rsidRPr="00C0664D">
        <w:rPr>
          <w:sz w:val="20"/>
          <w:szCs w:val="20"/>
          <w:lang w:eastAsia="en-US"/>
        </w:rPr>
        <w:t>’évolu</w:t>
      </w:r>
      <w:r w:rsidR="00E56209">
        <w:rPr>
          <w:sz w:val="20"/>
          <w:szCs w:val="20"/>
          <w:lang w:eastAsia="en-US"/>
        </w:rPr>
        <w:t>tion de l</w:t>
      </w:r>
      <w:r w:rsidR="00C0664D" w:rsidRPr="00C0664D">
        <w:rPr>
          <w:sz w:val="20"/>
          <w:szCs w:val="20"/>
          <w:lang w:eastAsia="en-US"/>
        </w:rPr>
        <w:t>’organis</w:t>
      </w:r>
      <w:r w:rsidR="00FF6520">
        <w:rPr>
          <w:sz w:val="20"/>
          <w:szCs w:val="20"/>
          <w:lang w:eastAsia="en-US"/>
        </w:rPr>
        <w:t xml:space="preserve">ation </w:t>
      </w:r>
      <w:r>
        <w:rPr>
          <w:sz w:val="20"/>
          <w:szCs w:val="20"/>
          <w:lang w:eastAsia="en-US"/>
        </w:rPr>
        <w:t xml:space="preserve">a contribué à ces synergies </w:t>
      </w:r>
      <w:r w:rsidR="00FF6520">
        <w:rPr>
          <w:sz w:val="20"/>
          <w:szCs w:val="20"/>
          <w:lang w:eastAsia="en-US"/>
        </w:rPr>
        <w:t xml:space="preserve">pour 70 %, </w:t>
      </w:r>
      <w:r w:rsidR="00C0664D" w:rsidRPr="00C0664D">
        <w:rPr>
          <w:sz w:val="20"/>
          <w:szCs w:val="20"/>
          <w:lang w:eastAsia="en-US"/>
        </w:rPr>
        <w:t xml:space="preserve">la gestion des systèmes </w:t>
      </w:r>
      <w:r>
        <w:rPr>
          <w:sz w:val="20"/>
          <w:szCs w:val="20"/>
          <w:lang w:eastAsia="en-US"/>
        </w:rPr>
        <w:t>d’information pour 21%</w:t>
      </w:r>
      <w:r w:rsidR="00161DD9">
        <w:rPr>
          <w:sz w:val="20"/>
          <w:szCs w:val="20"/>
          <w:lang w:eastAsia="en-US"/>
        </w:rPr>
        <w:t xml:space="preserve"> et les </w:t>
      </w:r>
      <w:proofErr w:type="spellStart"/>
      <w:r w:rsidR="00161DD9" w:rsidRPr="000D2513">
        <w:rPr>
          <w:sz w:val="20"/>
          <w:szCs w:val="20"/>
          <w:lang w:eastAsia="en-US"/>
        </w:rPr>
        <w:t>process</w:t>
      </w:r>
      <w:proofErr w:type="spellEnd"/>
      <w:r w:rsidR="00161DD9">
        <w:rPr>
          <w:sz w:val="20"/>
          <w:szCs w:val="20"/>
          <w:lang w:eastAsia="en-US"/>
        </w:rPr>
        <w:t xml:space="preserve"> (signature électronique, dématérialisation…)</w:t>
      </w:r>
      <w:r>
        <w:rPr>
          <w:sz w:val="20"/>
          <w:szCs w:val="20"/>
          <w:lang w:eastAsia="en-US"/>
        </w:rPr>
        <w:t xml:space="preserve"> pour 9 %</w:t>
      </w:r>
      <w:r w:rsidR="00C0664D" w:rsidRPr="00C0664D">
        <w:rPr>
          <w:sz w:val="20"/>
          <w:szCs w:val="20"/>
          <w:lang w:eastAsia="en-US"/>
        </w:rPr>
        <w:t>.</w:t>
      </w:r>
    </w:p>
    <w:p w:rsidR="00075135" w:rsidRDefault="00075135">
      <w:pPr>
        <w:jc w:val="left"/>
        <w:rPr>
          <w:rFonts w:eastAsia="Times New Roman"/>
          <w:b/>
          <w:color w:val="581D74"/>
          <w:spacing w:val="-4"/>
          <w:sz w:val="20"/>
          <w:szCs w:val="24"/>
        </w:rPr>
      </w:pPr>
    </w:p>
    <w:p w:rsidR="000705B7" w:rsidRPr="00B25B9B" w:rsidRDefault="000705B7" w:rsidP="000705B7">
      <w:pPr>
        <w:tabs>
          <w:tab w:val="left" w:pos="426"/>
        </w:tabs>
        <w:spacing w:line="240" w:lineRule="atLeast"/>
        <w:rPr>
          <w:rFonts w:eastAsia="Times New Roman"/>
          <w:b/>
          <w:color w:val="581D74"/>
          <w:spacing w:val="-6"/>
          <w:sz w:val="20"/>
          <w:szCs w:val="20"/>
        </w:rPr>
      </w:pPr>
      <w:r w:rsidRPr="00B25B9B">
        <w:rPr>
          <w:rStyle w:val="orange"/>
          <w:b/>
          <w:spacing w:val="-4"/>
          <w:sz w:val="20"/>
        </w:rPr>
        <w:t>1.1</w:t>
      </w:r>
      <w:r w:rsidRPr="00B25B9B">
        <w:rPr>
          <w:rStyle w:val="orange"/>
          <w:spacing w:val="-4"/>
          <w:sz w:val="20"/>
        </w:rPr>
        <w:tab/>
      </w:r>
      <w:r>
        <w:rPr>
          <w:rFonts w:eastAsia="Times New Roman"/>
          <w:b/>
          <w:color w:val="581D74"/>
          <w:spacing w:val="-6"/>
          <w:sz w:val="20"/>
          <w:szCs w:val="20"/>
        </w:rPr>
        <w:t xml:space="preserve">Résultats </w:t>
      </w:r>
      <w:r w:rsidRPr="00B25B9B">
        <w:rPr>
          <w:rFonts w:eastAsia="Times New Roman"/>
          <w:b/>
          <w:color w:val="581D74"/>
          <w:spacing w:val="-6"/>
          <w:sz w:val="20"/>
          <w:szCs w:val="20"/>
        </w:rPr>
        <w:t>consolidés</w:t>
      </w:r>
      <w:r w:rsidR="006C2796" w:rsidRPr="006C2796">
        <w:rPr>
          <w:rStyle w:val="Appelnotedebasdep"/>
          <w:color w:val="581D74"/>
          <w:spacing w:val="-4"/>
        </w:rPr>
        <w:fldChar w:fldCharType="begin"/>
      </w:r>
      <w:r w:rsidR="006C2796" w:rsidRPr="006C2796">
        <w:rPr>
          <w:rStyle w:val="Appelnotedebasdep"/>
          <w:spacing w:val="-4"/>
        </w:rPr>
        <w:instrText xml:space="preserve"> NOTEREF _Ref425872744 \f \h </w:instrText>
      </w:r>
      <w:r w:rsidR="006C2796">
        <w:rPr>
          <w:rStyle w:val="Appelnotedebasdep"/>
          <w:color w:val="581D74"/>
          <w:spacing w:val="-4"/>
        </w:rPr>
        <w:instrText xml:space="preserve"> \* MERGEFORMAT </w:instrText>
      </w:r>
      <w:r w:rsidR="006C2796" w:rsidRPr="006C2796">
        <w:rPr>
          <w:rStyle w:val="Appelnotedebasdep"/>
          <w:color w:val="581D74"/>
          <w:spacing w:val="-4"/>
        </w:rPr>
      </w:r>
      <w:r w:rsidR="006C2796" w:rsidRPr="006C2796">
        <w:rPr>
          <w:rStyle w:val="Appelnotedebasdep"/>
          <w:color w:val="581D74"/>
          <w:spacing w:val="-4"/>
        </w:rPr>
        <w:fldChar w:fldCharType="separate"/>
      </w:r>
      <w:r w:rsidR="00A92C86" w:rsidRPr="00A92C86">
        <w:rPr>
          <w:rStyle w:val="Appelnotedebasdep"/>
          <w:b/>
          <w:color w:val="581D74"/>
          <w:spacing w:val="-4"/>
        </w:rPr>
        <w:t>8</w:t>
      </w:r>
      <w:r w:rsidR="006C2796" w:rsidRPr="006C2796">
        <w:rPr>
          <w:rStyle w:val="Appelnotedebasdep"/>
          <w:color w:val="581D74"/>
          <w:spacing w:val="-4"/>
        </w:rPr>
        <w:fldChar w:fldCharType="end"/>
      </w:r>
      <w:r w:rsidRPr="006C2796">
        <w:rPr>
          <w:rStyle w:val="Appelnotedebasdep"/>
          <w:spacing w:val="-4"/>
        </w:rPr>
        <w:t xml:space="preserve"> </w:t>
      </w:r>
      <w:r w:rsidRPr="00B25B9B">
        <w:rPr>
          <w:rFonts w:eastAsia="Times New Roman"/>
          <w:b/>
          <w:color w:val="581D74"/>
          <w:spacing w:val="-6"/>
          <w:sz w:val="20"/>
          <w:szCs w:val="20"/>
        </w:rPr>
        <w:t xml:space="preserve">du </w:t>
      </w:r>
      <w:r>
        <w:rPr>
          <w:rFonts w:eastAsia="Times New Roman"/>
          <w:b/>
          <w:color w:val="581D74"/>
          <w:spacing w:val="-6"/>
          <w:sz w:val="20"/>
          <w:szCs w:val="20"/>
        </w:rPr>
        <w:t>deuxième</w:t>
      </w:r>
      <w:r w:rsidR="00083913">
        <w:rPr>
          <w:rFonts w:eastAsia="Times New Roman"/>
          <w:b/>
          <w:color w:val="581D74"/>
          <w:spacing w:val="-6"/>
          <w:sz w:val="20"/>
          <w:szCs w:val="20"/>
        </w:rPr>
        <w:t xml:space="preserve"> trimestre 2015</w:t>
      </w:r>
      <w:r w:rsidR="00AD7730">
        <w:rPr>
          <w:rFonts w:eastAsia="Times New Roman"/>
          <w:b/>
          <w:color w:val="581D74"/>
          <w:spacing w:val="-6"/>
          <w:sz w:val="20"/>
          <w:szCs w:val="20"/>
        </w:rPr>
        <w:t> : le résultat net</w:t>
      </w:r>
      <w:r w:rsidR="006E6F26" w:rsidRPr="006E6F26">
        <w:rPr>
          <w:rFonts w:eastAsia="Times New Roman"/>
          <w:b/>
          <w:color w:val="581D74" w:themeColor="accent1"/>
          <w:spacing w:val="-6"/>
          <w:sz w:val="20"/>
          <w:szCs w:val="20"/>
        </w:rPr>
        <w:fldChar w:fldCharType="begin"/>
      </w:r>
      <w:r w:rsidR="006E6F26" w:rsidRPr="006E6F26">
        <w:rPr>
          <w:rFonts w:eastAsia="Times New Roman"/>
          <w:b/>
          <w:color w:val="581D74" w:themeColor="accent1"/>
          <w:spacing w:val="-6"/>
          <w:sz w:val="20"/>
          <w:szCs w:val="20"/>
        </w:rPr>
        <w:instrText xml:space="preserve"> NOTEREF _Ref426022220 \f \h  \* MERGEFORMAT </w:instrText>
      </w:r>
      <w:r w:rsidR="006E6F26" w:rsidRPr="006E6F26">
        <w:rPr>
          <w:rFonts w:eastAsia="Times New Roman"/>
          <w:b/>
          <w:color w:val="581D74" w:themeColor="accent1"/>
          <w:spacing w:val="-6"/>
          <w:sz w:val="20"/>
          <w:szCs w:val="20"/>
        </w:rPr>
      </w:r>
      <w:r w:rsidR="006E6F26" w:rsidRPr="006E6F26">
        <w:rPr>
          <w:rFonts w:eastAsia="Times New Roman"/>
          <w:b/>
          <w:color w:val="581D74" w:themeColor="accent1"/>
          <w:spacing w:val="-6"/>
          <w:sz w:val="20"/>
          <w:szCs w:val="20"/>
        </w:rPr>
        <w:fldChar w:fldCharType="separate"/>
      </w:r>
      <w:r w:rsidR="00A92C86" w:rsidRPr="00A92C86">
        <w:rPr>
          <w:rStyle w:val="Appelnotedebasdep"/>
          <w:b/>
          <w:color w:val="581D74" w:themeColor="accent1"/>
        </w:rPr>
        <w:t>9</w:t>
      </w:r>
      <w:r w:rsidR="006E6F26" w:rsidRPr="006E6F26">
        <w:rPr>
          <w:rFonts w:eastAsia="Times New Roman"/>
          <w:b/>
          <w:color w:val="581D74" w:themeColor="accent1"/>
          <w:spacing w:val="-6"/>
          <w:sz w:val="20"/>
          <w:szCs w:val="20"/>
        </w:rPr>
        <w:fldChar w:fldCharType="end"/>
      </w:r>
      <w:r w:rsidR="0065769C" w:rsidRPr="0065769C">
        <w:rPr>
          <w:rFonts w:eastAsia="Times New Roman"/>
          <w:b/>
          <w:color w:val="581D74" w:themeColor="accent1"/>
          <w:spacing w:val="-6"/>
          <w:sz w:val="20"/>
          <w:szCs w:val="20"/>
          <w:vertAlign w:val="superscript"/>
        </w:rPr>
        <w:t>,</w:t>
      </w:r>
      <w:bookmarkStart w:id="9" w:name="_Ref426022919"/>
      <w:r w:rsidR="0065769C">
        <w:rPr>
          <w:rStyle w:val="Appelnotedebasdep"/>
          <w:rFonts w:eastAsia="Times New Roman"/>
          <w:b/>
          <w:color w:val="581D74" w:themeColor="accent1"/>
          <w:spacing w:val="-6"/>
          <w:sz w:val="20"/>
          <w:szCs w:val="20"/>
        </w:rPr>
        <w:footnoteReference w:id="13"/>
      </w:r>
      <w:bookmarkEnd w:id="9"/>
      <w:r w:rsidR="006E6F26">
        <w:rPr>
          <w:rFonts w:eastAsia="Times New Roman"/>
          <w:b/>
          <w:color w:val="581D74"/>
          <w:spacing w:val="-6"/>
          <w:sz w:val="20"/>
          <w:szCs w:val="20"/>
        </w:rPr>
        <w:t xml:space="preserve"> </w:t>
      </w:r>
      <w:r w:rsidR="00AD7730">
        <w:rPr>
          <w:rFonts w:eastAsia="Times New Roman"/>
          <w:b/>
          <w:color w:val="581D74"/>
          <w:spacing w:val="-6"/>
          <w:sz w:val="20"/>
          <w:szCs w:val="20"/>
        </w:rPr>
        <w:t>des métiers cœurs s’élève à 1 milliard d’euros en hausse de 15,8 %</w:t>
      </w:r>
    </w:p>
    <w:p w:rsidR="000705B7" w:rsidRPr="00415E6E" w:rsidRDefault="000705B7" w:rsidP="000705B7">
      <w:pPr>
        <w:pStyle w:val="Boldviolet"/>
      </w:pPr>
    </w:p>
    <w:p w:rsidR="000705B7" w:rsidRPr="00FD1FEC" w:rsidRDefault="000705B7" w:rsidP="000705B7">
      <w:pPr>
        <w:pStyle w:val="2-TEXTECOURANTcommuniqu"/>
        <w:rPr>
          <w:color w:val="FF0000"/>
          <w:spacing w:val="0"/>
        </w:rPr>
      </w:pPr>
      <w:r w:rsidRPr="00BE527A">
        <w:rPr>
          <w:spacing w:val="0"/>
        </w:rPr>
        <w:t xml:space="preserve">Le </w:t>
      </w:r>
      <w:r w:rsidRPr="00BE527A">
        <w:rPr>
          <w:rStyle w:val="lev"/>
          <w:spacing w:val="0"/>
        </w:rPr>
        <w:t>produit net bancaire</w:t>
      </w:r>
      <w:r w:rsidR="006E6F26">
        <w:rPr>
          <w:rStyle w:val="lev"/>
          <w:spacing w:val="0"/>
        </w:rPr>
        <w:fldChar w:fldCharType="begin"/>
      </w:r>
      <w:r w:rsidR="006E6F26">
        <w:rPr>
          <w:rStyle w:val="lev"/>
          <w:spacing w:val="0"/>
        </w:rPr>
        <w:instrText xml:space="preserve"> NOTEREF _Ref426022220 \f \h </w:instrText>
      </w:r>
      <w:r w:rsidR="006E6F26">
        <w:rPr>
          <w:rStyle w:val="lev"/>
          <w:spacing w:val="0"/>
        </w:rPr>
      </w:r>
      <w:r w:rsidR="006E6F26">
        <w:rPr>
          <w:rStyle w:val="lev"/>
          <w:spacing w:val="0"/>
        </w:rPr>
        <w:fldChar w:fldCharType="separate"/>
      </w:r>
      <w:r w:rsidR="00A92C86" w:rsidRPr="00A92C86">
        <w:rPr>
          <w:rStyle w:val="Appelnotedebasdep"/>
        </w:rPr>
        <w:t>9</w:t>
      </w:r>
      <w:r w:rsidR="006E6F26">
        <w:rPr>
          <w:rStyle w:val="lev"/>
          <w:spacing w:val="0"/>
        </w:rPr>
        <w:fldChar w:fldCharType="end"/>
      </w:r>
      <w:r w:rsidRPr="00864734">
        <w:rPr>
          <w:b/>
          <w:spacing w:val="0"/>
        </w:rPr>
        <w:t xml:space="preserve"> </w:t>
      </w:r>
      <w:r w:rsidRPr="00BE527A">
        <w:rPr>
          <w:spacing w:val="0"/>
        </w:rPr>
        <w:t>du Groupe BPCE atteint 5 939 millions d’euros, en hausse de 3,5</w:t>
      </w:r>
      <w:r w:rsidR="000F6741">
        <w:rPr>
          <w:spacing w:val="0"/>
        </w:rPr>
        <w:t> </w:t>
      </w:r>
      <w:r w:rsidRPr="00BE527A">
        <w:rPr>
          <w:spacing w:val="0"/>
        </w:rPr>
        <w:t xml:space="preserve">% </w:t>
      </w:r>
      <w:r w:rsidRPr="0045741F">
        <w:rPr>
          <w:spacing w:val="0"/>
        </w:rPr>
        <w:t>par rapport au deuxième trimestre 2014. Les métiers cœurs participent au produit net bancaire</w:t>
      </w:r>
      <w:r w:rsidR="006E6F26">
        <w:rPr>
          <w:spacing w:val="0"/>
        </w:rPr>
        <w:fldChar w:fldCharType="begin"/>
      </w:r>
      <w:r w:rsidR="006E6F26">
        <w:rPr>
          <w:spacing w:val="0"/>
        </w:rPr>
        <w:instrText xml:space="preserve"> NOTEREF _Ref426022220 \f \h </w:instrText>
      </w:r>
      <w:r w:rsidR="006E6F26">
        <w:rPr>
          <w:spacing w:val="0"/>
        </w:rPr>
      </w:r>
      <w:r w:rsidR="006E6F26">
        <w:rPr>
          <w:spacing w:val="0"/>
        </w:rPr>
        <w:fldChar w:fldCharType="separate"/>
      </w:r>
      <w:r w:rsidR="00A92C86" w:rsidRPr="00A92C86">
        <w:rPr>
          <w:rStyle w:val="Appelnotedebasdep"/>
        </w:rPr>
        <w:t>9</w:t>
      </w:r>
      <w:r w:rsidR="006E6F26">
        <w:rPr>
          <w:spacing w:val="0"/>
        </w:rPr>
        <w:fldChar w:fldCharType="end"/>
      </w:r>
      <w:r w:rsidRPr="0045741F">
        <w:rPr>
          <w:spacing w:val="0"/>
        </w:rPr>
        <w:t xml:space="preserve"> à hauteur de 5 911 millions d’euros, en hausse de 6,3 % par rapport au deuxième trimestre </w:t>
      </w:r>
      <w:r w:rsidRPr="003834CA">
        <w:rPr>
          <w:spacing w:val="0"/>
        </w:rPr>
        <w:t>2014</w:t>
      </w:r>
      <w:r w:rsidR="008C4CDB" w:rsidRPr="003834CA">
        <w:rPr>
          <w:spacing w:val="0"/>
        </w:rPr>
        <w:t xml:space="preserve"> (</w:t>
      </w:r>
      <w:r w:rsidR="00083913" w:rsidRPr="003834CA">
        <w:rPr>
          <w:spacing w:val="0"/>
        </w:rPr>
        <w:t>3,7</w:t>
      </w:r>
      <w:r w:rsidR="008C4CDB" w:rsidRPr="003834CA">
        <w:rPr>
          <w:spacing w:val="0"/>
        </w:rPr>
        <w:t> % à change constant)</w:t>
      </w:r>
      <w:r w:rsidRPr="003834CA">
        <w:rPr>
          <w:spacing w:val="0"/>
        </w:rPr>
        <w:t xml:space="preserve">. </w:t>
      </w:r>
    </w:p>
    <w:p w:rsidR="000705B7" w:rsidRPr="00FD1FEC" w:rsidRDefault="000705B7" w:rsidP="000705B7">
      <w:pPr>
        <w:pStyle w:val="2-TEXTECOURANTcommuniqu"/>
        <w:rPr>
          <w:color w:val="FF0000"/>
          <w:spacing w:val="0"/>
        </w:rPr>
      </w:pPr>
    </w:p>
    <w:p w:rsidR="000705B7" w:rsidRPr="003B0C5B" w:rsidRDefault="000705B7" w:rsidP="000705B7">
      <w:pPr>
        <w:pStyle w:val="2-TEXTECOURANTcommuniqu"/>
        <w:rPr>
          <w:spacing w:val="0"/>
        </w:rPr>
      </w:pPr>
      <w:r w:rsidRPr="003B0C5B">
        <w:rPr>
          <w:spacing w:val="0"/>
        </w:rPr>
        <w:t xml:space="preserve">Les </w:t>
      </w:r>
      <w:r w:rsidRPr="003B0C5B">
        <w:rPr>
          <w:rStyle w:val="lev"/>
          <w:spacing w:val="0"/>
        </w:rPr>
        <w:t>frais de gestion</w:t>
      </w:r>
      <w:r w:rsidRPr="003B0C5B">
        <w:rPr>
          <w:spacing w:val="0"/>
        </w:rPr>
        <w:t xml:space="preserve"> du groupe s’élèvent à 3 929 millions d’euros, en hausse de 2,1 % sur un an. Ceux des métiers cœurs, à 3 692 millions d’euros, augmentent de 3,9 %.</w:t>
      </w:r>
    </w:p>
    <w:p w:rsidR="000705B7" w:rsidRPr="00FD1FEC" w:rsidRDefault="000705B7" w:rsidP="000705B7">
      <w:pPr>
        <w:pStyle w:val="2-TEXTECOURANTcommuniqu"/>
        <w:rPr>
          <w:color w:val="FF0000"/>
          <w:spacing w:val="0"/>
        </w:rPr>
      </w:pPr>
    </w:p>
    <w:p w:rsidR="000705B7" w:rsidRPr="00FD1FEC" w:rsidRDefault="000705B7" w:rsidP="000705B7">
      <w:pPr>
        <w:pStyle w:val="2-TEXTECOURANTcommuniqu"/>
        <w:rPr>
          <w:color w:val="FF0000"/>
          <w:spacing w:val="0"/>
        </w:rPr>
      </w:pPr>
      <w:r w:rsidRPr="000A5E60">
        <w:rPr>
          <w:spacing w:val="0"/>
        </w:rPr>
        <w:lastRenderedPageBreak/>
        <w:t xml:space="preserve">Le </w:t>
      </w:r>
      <w:r w:rsidRPr="000A5E60">
        <w:rPr>
          <w:rStyle w:val="lev"/>
          <w:spacing w:val="0"/>
        </w:rPr>
        <w:t>résultat brut d’exploitation</w:t>
      </w:r>
      <w:r w:rsidR="006E6F26">
        <w:rPr>
          <w:rStyle w:val="lev"/>
          <w:spacing w:val="0"/>
        </w:rPr>
        <w:fldChar w:fldCharType="begin"/>
      </w:r>
      <w:r w:rsidR="006E6F26">
        <w:rPr>
          <w:rStyle w:val="lev"/>
          <w:spacing w:val="0"/>
        </w:rPr>
        <w:instrText xml:space="preserve"> NOTEREF _Ref426022220 \f \h </w:instrText>
      </w:r>
      <w:r w:rsidR="006E6F26">
        <w:rPr>
          <w:rStyle w:val="lev"/>
          <w:spacing w:val="0"/>
        </w:rPr>
      </w:r>
      <w:r w:rsidR="006E6F26">
        <w:rPr>
          <w:rStyle w:val="lev"/>
          <w:spacing w:val="0"/>
        </w:rPr>
        <w:fldChar w:fldCharType="separate"/>
      </w:r>
      <w:r w:rsidR="00A92C86" w:rsidRPr="00A92C86">
        <w:rPr>
          <w:rStyle w:val="Appelnotedebasdep"/>
        </w:rPr>
        <w:t>9</w:t>
      </w:r>
      <w:r w:rsidR="006E6F26">
        <w:rPr>
          <w:rStyle w:val="lev"/>
          <w:spacing w:val="0"/>
        </w:rPr>
        <w:fldChar w:fldCharType="end"/>
      </w:r>
      <w:r w:rsidRPr="000A5E60">
        <w:rPr>
          <w:spacing w:val="0"/>
        </w:rPr>
        <w:t xml:space="preserve"> s’élève à 2 010 millions d’euros, en hausse de 6,2 % par rapport au </w:t>
      </w:r>
      <w:r>
        <w:rPr>
          <w:spacing w:val="0"/>
        </w:rPr>
        <w:t>deuxième</w:t>
      </w:r>
      <w:r w:rsidRPr="000A5E60">
        <w:rPr>
          <w:spacing w:val="0"/>
        </w:rPr>
        <w:t xml:space="preserve"> trimestre 2014. La contribution des métiers cœurs atteint 2 219 millions d’euros, en hausse de 10,7 % sur un an.</w:t>
      </w:r>
    </w:p>
    <w:p w:rsidR="000705B7" w:rsidRPr="00FD1FEC" w:rsidRDefault="000705B7" w:rsidP="000705B7">
      <w:pPr>
        <w:pStyle w:val="2-TEXTECOURANTcommuniqu"/>
        <w:rPr>
          <w:color w:val="FF0000"/>
          <w:spacing w:val="0"/>
        </w:rPr>
      </w:pPr>
    </w:p>
    <w:p w:rsidR="00422BD3" w:rsidRDefault="008D78FB" w:rsidP="000705B7">
      <w:pPr>
        <w:pStyle w:val="2-TEXTECOURANTcommuniqu"/>
        <w:rPr>
          <w:spacing w:val="0"/>
        </w:rPr>
      </w:pPr>
      <w:r>
        <w:rPr>
          <w:spacing w:val="0"/>
        </w:rPr>
        <w:t xml:space="preserve">Le </w:t>
      </w:r>
      <w:r w:rsidRPr="00422BD3">
        <w:rPr>
          <w:b/>
          <w:spacing w:val="0"/>
        </w:rPr>
        <w:t>coût du risque</w:t>
      </w:r>
      <w:r w:rsidR="006E6F26">
        <w:rPr>
          <w:b/>
          <w:spacing w:val="0"/>
        </w:rPr>
        <w:fldChar w:fldCharType="begin"/>
      </w:r>
      <w:r w:rsidR="006E6F26">
        <w:rPr>
          <w:b/>
          <w:spacing w:val="0"/>
        </w:rPr>
        <w:instrText xml:space="preserve"> NOTEREF _Ref426022220 \f \h </w:instrText>
      </w:r>
      <w:r w:rsidR="006E6F26">
        <w:rPr>
          <w:b/>
          <w:spacing w:val="0"/>
        </w:rPr>
      </w:r>
      <w:r w:rsidR="006E6F26">
        <w:rPr>
          <w:b/>
          <w:spacing w:val="0"/>
        </w:rPr>
        <w:fldChar w:fldCharType="separate"/>
      </w:r>
      <w:r w:rsidR="00A92C86" w:rsidRPr="00A92C86">
        <w:rPr>
          <w:rStyle w:val="Appelnotedebasdep"/>
        </w:rPr>
        <w:t>9</w:t>
      </w:r>
      <w:r w:rsidR="006E6F26">
        <w:rPr>
          <w:b/>
          <w:spacing w:val="0"/>
        </w:rPr>
        <w:fldChar w:fldCharType="end"/>
      </w:r>
      <w:r w:rsidRPr="00422BD3">
        <w:rPr>
          <w:b/>
          <w:spacing w:val="0"/>
        </w:rPr>
        <w:t xml:space="preserve"> </w:t>
      </w:r>
      <w:r w:rsidRPr="008D78FB">
        <w:rPr>
          <w:spacing w:val="0"/>
        </w:rPr>
        <w:t>diminue de 10,5 %</w:t>
      </w:r>
      <w:r>
        <w:rPr>
          <w:spacing w:val="0"/>
        </w:rPr>
        <w:t xml:space="preserve"> par rapport au deuxième trimestre 2014, s’établissant à 436 millions d’euros, soit 25 points de base</w:t>
      </w:r>
      <w:r>
        <w:rPr>
          <w:rStyle w:val="Appelnotedebasdep"/>
          <w:spacing w:val="0"/>
        </w:rPr>
        <w:footnoteReference w:id="14"/>
      </w:r>
      <w:r w:rsidR="00A43361">
        <w:rPr>
          <w:spacing w:val="0"/>
        </w:rPr>
        <w:t xml:space="preserve">. </w:t>
      </w:r>
      <w:r w:rsidR="006C2796" w:rsidRPr="00076A45">
        <w:t>À</w:t>
      </w:r>
      <w:r w:rsidR="00422BD3">
        <w:rPr>
          <w:spacing w:val="0"/>
        </w:rPr>
        <w:t xml:space="preserve"> 419 millions d’euros, </w:t>
      </w:r>
      <w:r w:rsidR="00422BD3" w:rsidRPr="00422BD3">
        <w:rPr>
          <w:b/>
          <w:spacing w:val="0"/>
        </w:rPr>
        <w:t xml:space="preserve">le coût du </w:t>
      </w:r>
      <w:r w:rsidR="006E6F26">
        <w:rPr>
          <w:b/>
          <w:spacing w:val="0"/>
        </w:rPr>
        <w:t>risque</w:t>
      </w:r>
      <w:r w:rsidR="006E6F26">
        <w:rPr>
          <w:b/>
          <w:spacing w:val="0"/>
        </w:rPr>
        <w:fldChar w:fldCharType="begin"/>
      </w:r>
      <w:r w:rsidR="006E6F26">
        <w:rPr>
          <w:b/>
          <w:spacing w:val="0"/>
        </w:rPr>
        <w:instrText xml:space="preserve"> NOTEREF _Ref426022220 \f \h </w:instrText>
      </w:r>
      <w:r w:rsidR="006E6F26">
        <w:rPr>
          <w:b/>
          <w:spacing w:val="0"/>
        </w:rPr>
      </w:r>
      <w:r w:rsidR="006E6F26">
        <w:rPr>
          <w:b/>
          <w:spacing w:val="0"/>
        </w:rPr>
        <w:fldChar w:fldCharType="separate"/>
      </w:r>
      <w:r w:rsidR="00A92C86" w:rsidRPr="00A92C86">
        <w:rPr>
          <w:rStyle w:val="Appelnotedebasdep"/>
        </w:rPr>
        <w:t>9</w:t>
      </w:r>
      <w:r w:rsidR="006E6F26">
        <w:rPr>
          <w:b/>
          <w:spacing w:val="0"/>
        </w:rPr>
        <w:fldChar w:fldCharType="end"/>
      </w:r>
      <w:r w:rsidR="006E6F26">
        <w:rPr>
          <w:b/>
          <w:spacing w:val="0"/>
        </w:rPr>
        <w:t xml:space="preserve"> </w:t>
      </w:r>
      <w:r w:rsidR="00422BD3" w:rsidRPr="00422BD3">
        <w:rPr>
          <w:b/>
          <w:spacing w:val="0"/>
        </w:rPr>
        <w:t>des métiers cœurs</w:t>
      </w:r>
      <w:r w:rsidR="00422BD3">
        <w:rPr>
          <w:spacing w:val="0"/>
        </w:rPr>
        <w:t xml:space="preserve"> diminue de 6,9 % à 29 points de base.</w:t>
      </w:r>
    </w:p>
    <w:p w:rsidR="00D21019" w:rsidRDefault="00D21019" w:rsidP="000705B7">
      <w:pPr>
        <w:pStyle w:val="2-TEXTECOURANTcommuniqu"/>
        <w:rPr>
          <w:spacing w:val="0"/>
        </w:rPr>
      </w:pPr>
    </w:p>
    <w:p w:rsidR="000705B7" w:rsidRPr="00FD1FEC" w:rsidRDefault="000705B7" w:rsidP="000705B7">
      <w:pPr>
        <w:pStyle w:val="2-TEXTECOURANTcommuniqu"/>
        <w:rPr>
          <w:color w:val="FF0000"/>
          <w:spacing w:val="0"/>
        </w:rPr>
      </w:pPr>
      <w:r w:rsidRPr="00CB37DA">
        <w:rPr>
          <w:spacing w:val="0"/>
        </w:rPr>
        <w:t xml:space="preserve">Le </w:t>
      </w:r>
      <w:r w:rsidRPr="00CB37DA">
        <w:rPr>
          <w:rStyle w:val="lev"/>
          <w:spacing w:val="0"/>
        </w:rPr>
        <w:t>résultat avant impôt</w:t>
      </w:r>
      <w:r w:rsidR="006E6F26">
        <w:rPr>
          <w:rStyle w:val="lev"/>
          <w:spacing w:val="0"/>
        </w:rPr>
        <w:fldChar w:fldCharType="begin"/>
      </w:r>
      <w:r w:rsidR="006E6F26">
        <w:rPr>
          <w:rStyle w:val="lev"/>
          <w:spacing w:val="0"/>
        </w:rPr>
        <w:instrText xml:space="preserve"> NOTEREF _Ref426022220 \f \h </w:instrText>
      </w:r>
      <w:r w:rsidR="006E6F26">
        <w:rPr>
          <w:rStyle w:val="lev"/>
          <w:spacing w:val="0"/>
        </w:rPr>
      </w:r>
      <w:r w:rsidR="006E6F26">
        <w:rPr>
          <w:rStyle w:val="lev"/>
          <w:spacing w:val="0"/>
        </w:rPr>
        <w:fldChar w:fldCharType="separate"/>
      </w:r>
      <w:r w:rsidR="00A92C86" w:rsidRPr="00A92C86">
        <w:rPr>
          <w:rStyle w:val="Appelnotedebasdep"/>
        </w:rPr>
        <w:t>9</w:t>
      </w:r>
      <w:r w:rsidR="006E6F26">
        <w:rPr>
          <w:rStyle w:val="lev"/>
          <w:spacing w:val="0"/>
        </w:rPr>
        <w:fldChar w:fldCharType="end"/>
      </w:r>
      <w:r w:rsidRPr="00CB37DA">
        <w:rPr>
          <w:spacing w:val="0"/>
        </w:rPr>
        <w:t xml:space="preserve"> progresse de 10,9 % sur un an et s’établit à 1 663</w:t>
      </w:r>
      <w:r>
        <w:rPr>
          <w:spacing w:val="0"/>
        </w:rPr>
        <w:t xml:space="preserve"> millions d’euros au deuxième</w:t>
      </w:r>
      <w:r w:rsidRPr="00CB37DA">
        <w:rPr>
          <w:spacing w:val="0"/>
        </w:rPr>
        <w:t xml:space="preserve"> trimestre 2015. </w:t>
      </w:r>
      <w:r w:rsidRPr="00D94221">
        <w:rPr>
          <w:spacing w:val="0"/>
        </w:rPr>
        <w:t>Pour les métiers cœurs, le résultat avant impôt ressort à 1 868 millions d’euros, en hausse de 15,2 % par rapport au deuxième trimestre 2014.</w:t>
      </w:r>
    </w:p>
    <w:p w:rsidR="000705B7" w:rsidRPr="00FD1FEC" w:rsidRDefault="000705B7" w:rsidP="000705B7">
      <w:pPr>
        <w:pStyle w:val="2-TEXTECOURANTcommuniqu"/>
        <w:rPr>
          <w:color w:val="FF0000"/>
          <w:spacing w:val="0"/>
        </w:rPr>
      </w:pPr>
    </w:p>
    <w:p w:rsidR="000705B7" w:rsidRPr="00FD1FEC" w:rsidRDefault="000705B7" w:rsidP="000705B7">
      <w:pPr>
        <w:pStyle w:val="2-TEXTECOURANTcommuniqu"/>
        <w:rPr>
          <w:color w:val="FF0000"/>
          <w:spacing w:val="0"/>
        </w:rPr>
      </w:pPr>
      <w:r w:rsidRPr="00E7635C">
        <w:rPr>
          <w:spacing w:val="0"/>
        </w:rPr>
        <w:t xml:space="preserve">Retraité de l’impact de la norme IFRIC 21 et </w:t>
      </w:r>
      <w:r w:rsidRPr="00B4797F">
        <w:rPr>
          <w:spacing w:val="0"/>
        </w:rPr>
        <w:t xml:space="preserve">des éléments </w:t>
      </w:r>
      <w:r w:rsidRPr="00A5626B">
        <w:rPr>
          <w:spacing w:val="0"/>
        </w:rPr>
        <w:t>exceptionnels</w:t>
      </w:r>
      <w:r w:rsidR="003E4FF7">
        <w:rPr>
          <w:spacing w:val="0"/>
        </w:rPr>
        <w:t xml:space="preserve"> et non économiques</w:t>
      </w:r>
      <w:r w:rsidRPr="00A5626B">
        <w:rPr>
          <w:spacing w:val="0"/>
        </w:rPr>
        <w:t>,</w:t>
      </w:r>
      <w:r w:rsidRPr="00A5626B">
        <w:rPr>
          <w:b/>
          <w:spacing w:val="0"/>
        </w:rPr>
        <w:t xml:space="preserve"> le résultat net part du groupe</w:t>
      </w:r>
      <w:r w:rsidRPr="00A5626B">
        <w:rPr>
          <w:spacing w:val="0"/>
        </w:rPr>
        <w:t xml:space="preserve"> croît de 2,3 % et s’établit à 841 mi</w:t>
      </w:r>
      <w:r w:rsidRPr="006A1EBB">
        <w:rPr>
          <w:spacing w:val="0"/>
        </w:rPr>
        <w:t xml:space="preserve">llions d’euros. </w:t>
      </w:r>
      <w:r w:rsidR="00455BAC">
        <w:rPr>
          <w:spacing w:val="0"/>
        </w:rPr>
        <w:t>Celui des métiers cœurs</w:t>
      </w:r>
      <w:r w:rsidR="00851421">
        <w:rPr>
          <w:spacing w:val="0"/>
        </w:rPr>
        <w:t xml:space="preserve"> augmente</w:t>
      </w:r>
      <w:r w:rsidR="00807F6B">
        <w:rPr>
          <w:spacing w:val="0"/>
        </w:rPr>
        <w:t xml:space="preserve"> de 15,8 % à 1 016 millions d’euros.</w:t>
      </w:r>
      <w:r w:rsidR="00BF67EE">
        <w:rPr>
          <w:spacing w:val="0"/>
        </w:rPr>
        <w:t xml:space="preserve"> </w:t>
      </w:r>
      <w:r w:rsidRPr="006A1EBB">
        <w:rPr>
          <w:spacing w:val="0"/>
        </w:rPr>
        <w:t xml:space="preserve">Le </w:t>
      </w:r>
      <w:r w:rsidRPr="006A1EBB">
        <w:rPr>
          <w:rStyle w:val="lev"/>
          <w:spacing w:val="0"/>
        </w:rPr>
        <w:t>coefficient d’exploitation</w:t>
      </w:r>
      <w:r w:rsidRPr="006A1EBB">
        <w:rPr>
          <w:spacing w:val="0"/>
        </w:rPr>
        <w:t xml:space="preserve"> s’améliore de 1,1 point, à 67,2 % pour le groupe. Il est de 63,5 % pour les métiers cœurs, en baisse de 1,7</w:t>
      </w:r>
      <w:r w:rsidR="000F6741">
        <w:rPr>
          <w:spacing w:val="0"/>
        </w:rPr>
        <w:t> </w:t>
      </w:r>
      <w:r w:rsidRPr="006A1EBB">
        <w:rPr>
          <w:spacing w:val="0"/>
        </w:rPr>
        <w:t xml:space="preserve">point par rapport au deuxième trimestre </w:t>
      </w:r>
      <w:r w:rsidRPr="008D78FB">
        <w:rPr>
          <w:spacing w:val="0"/>
        </w:rPr>
        <w:t>2014 (</w:t>
      </w:r>
      <w:r w:rsidR="00316760">
        <w:rPr>
          <w:spacing w:val="0"/>
        </w:rPr>
        <w:t>- </w:t>
      </w:r>
      <w:r w:rsidR="008D78FB" w:rsidRPr="008D78FB">
        <w:rPr>
          <w:spacing w:val="0"/>
        </w:rPr>
        <w:t>1,5 p</w:t>
      </w:r>
      <w:r w:rsidR="008D78FB">
        <w:rPr>
          <w:spacing w:val="0"/>
        </w:rPr>
        <w:t>oin</w:t>
      </w:r>
      <w:r w:rsidR="008D78FB" w:rsidRPr="008D78FB">
        <w:rPr>
          <w:spacing w:val="0"/>
        </w:rPr>
        <w:t>t</w:t>
      </w:r>
      <w:r w:rsidRPr="008D78FB">
        <w:rPr>
          <w:spacing w:val="0"/>
        </w:rPr>
        <w:t xml:space="preserve"> à change constant). Le </w:t>
      </w:r>
      <w:r w:rsidRPr="008D78FB">
        <w:rPr>
          <w:rStyle w:val="lev"/>
          <w:spacing w:val="0"/>
        </w:rPr>
        <w:t>ROE</w:t>
      </w:r>
      <w:r w:rsidR="008D78FB">
        <w:rPr>
          <w:spacing w:val="0"/>
        </w:rPr>
        <w:t xml:space="preserve"> du groupe ressort à 6,2</w:t>
      </w:r>
      <w:r w:rsidRPr="008D78FB">
        <w:rPr>
          <w:spacing w:val="0"/>
        </w:rPr>
        <w:t xml:space="preserve"> %, </w:t>
      </w:r>
      <w:r w:rsidR="008D78FB">
        <w:rPr>
          <w:spacing w:val="0"/>
        </w:rPr>
        <w:t xml:space="preserve">quasi stable (- </w:t>
      </w:r>
      <w:r w:rsidRPr="008D78FB">
        <w:rPr>
          <w:spacing w:val="0"/>
        </w:rPr>
        <w:t>0,</w:t>
      </w:r>
      <w:r w:rsidR="008D78FB">
        <w:rPr>
          <w:spacing w:val="0"/>
        </w:rPr>
        <w:t>1</w:t>
      </w:r>
      <w:r w:rsidRPr="008D78FB">
        <w:rPr>
          <w:spacing w:val="0"/>
        </w:rPr>
        <w:t xml:space="preserve"> point</w:t>
      </w:r>
      <w:r w:rsidR="008D78FB">
        <w:rPr>
          <w:spacing w:val="0"/>
        </w:rPr>
        <w:t>)</w:t>
      </w:r>
      <w:r w:rsidRPr="008D78FB">
        <w:rPr>
          <w:spacing w:val="0"/>
        </w:rPr>
        <w:t>. Il est de 11 % pour les mé</w:t>
      </w:r>
      <w:r w:rsidR="008D78FB">
        <w:rPr>
          <w:spacing w:val="0"/>
        </w:rPr>
        <w:t>tiers cœurs, en augmentation de deux</w:t>
      </w:r>
      <w:r w:rsidRPr="008D78FB">
        <w:rPr>
          <w:spacing w:val="0"/>
        </w:rPr>
        <w:t xml:space="preserve"> point</w:t>
      </w:r>
      <w:r w:rsidR="008D78FB">
        <w:rPr>
          <w:spacing w:val="0"/>
        </w:rPr>
        <w:t>s</w:t>
      </w:r>
      <w:r w:rsidR="0003184A">
        <w:rPr>
          <w:spacing w:val="0"/>
        </w:rPr>
        <w:t xml:space="preserve"> par rapport au deuxième</w:t>
      </w:r>
      <w:r w:rsidRPr="008D78FB">
        <w:rPr>
          <w:spacing w:val="0"/>
        </w:rPr>
        <w:t xml:space="preserve"> trimestre 2014. </w:t>
      </w:r>
    </w:p>
    <w:p w:rsidR="000705B7" w:rsidRPr="00FD1FEC" w:rsidRDefault="000705B7" w:rsidP="000705B7">
      <w:pPr>
        <w:pStyle w:val="2-TEXTECOURANTcommuniqu"/>
        <w:rPr>
          <w:color w:val="FF0000"/>
          <w:spacing w:val="0"/>
        </w:rPr>
      </w:pPr>
    </w:p>
    <w:p w:rsidR="000705B7" w:rsidRPr="00940805" w:rsidRDefault="000705B7" w:rsidP="000705B7">
      <w:pPr>
        <w:rPr>
          <w:color w:val="FF0000"/>
          <w:sz w:val="20"/>
          <w:szCs w:val="20"/>
        </w:rPr>
      </w:pPr>
      <w:r w:rsidRPr="006A47EA">
        <w:rPr>
          <w:sz w:val="20"/>
          <w:szCs w:val="20"/>
        </w:rPr>
        <w:t xml:space="preserve">Après prise en compte d’éléments </w:t>
      </w:r>
      <w:r w:rsidR="00271091">
        <w:rPr>
          <w:sz w:val="20"/>
          <w:szCs w:val="20"/>
        </w:rPr>
        <w:t xml:space="preserve">non économiques et </w:t>
      </w:r>
      <w:r w:rsidRPr="006A47EA">
        <w:rPr>
          <w:sz w:val="20"/>
          <w:szCs w:val="20"/>
        </w:rPr>
        <w:t>exceptionnels</w:t>
      </w:r>
      <w:r w:rsidR="00F42C85">
        <w:rPr>
          <w:sz w:val="20"/>
          <w:szCs w:val="20"/>
        </w:rPr>
        <w:t>,</w:t>
      </w:r>
      <w:r w:rsidRPr="006A47EA">
        <w:rPr>
          <w:sz w:val="20"/>
          <w:szCs w:val="20"/>
        </w:rPr>
        <w:t xml:space="preserve"> et de l’impact de l’IFRIC</w:t>
      </w:r>
      <w:r w:rsidR="004048D3">
        <w:rPr>
          <w:sz w:val="20"/>
          <w:szCs w:val="20"/>
        </w:rPr>
        <w:t> </w:t>
      </w:r>
      <w:r w:rsidRPr="006A47EA">
        <w:rPr>
          <w:sz w:val="20"/>
          <w:szCs w:val="20"/>
        </w:rPr>
        <w:t>21,</w:t>
      </w:r>
      <w:r w:rsidRPr="006A47EA">
        <w:rPr>
          <w:b/>
          <w:sz w:val="20"/>
          <w:szCs w:val="20"/>
        </w:rPr>
        <w:t xml:space="preserve"> </w:t>
      </w:r>
      <w:r w:rsidRPr="006A47EA">
        <w:rPr>
          <w:sz w:val="20"/>
          <w:szCs w:val="20"/>
        </w:rPr>
        <w:t xml:space="preserve">le </w:t>
      </w:r>
      <w:r w:rsidRPr="006A47EA">
        <w:rPr>
          <w:b/>
          <w:sz w:val="20"/>
          <w:szCs w:val="20"/>
        </w:rPr>
        <w:t>résultat net publié</w:t>
      </w:r>
      <w:r w:rsidRPr="00940805">
        <w:rPr>
          <w:color w:val="FF0000"/>
          <w:sz w:val="20"/>
          <w:szCs w:val="20"/>
        </w:rPr>
        <w:t xml:space="preserve"> </w:t>
      </w:r>
      <w:r w:rsidRPr="006A47EA">
        <w:rPr>
          <w:sz w:val="20"/>
          <w:szCs w:val="20"/>
        </w:rPr>
        <w:t>affiche</w:t>
      </w:r>
      <w:r w:rsidR="0095273F">
        <w:rPr>
          <w:sz w:val="20"/>
          <w:szCs w:val="20"/>
        </w:rPr>
        <w:t xml:space="preserve"> pour le deuxième trimestre 2015,</w:t>
      </w:r>
      <w:r w:rsidRPr="006A47EA">
        <w:rPr>
          <w:sz w:val="20"/>
          <w:szCs w:val="20"/>
        </w:rPr>
        <w:t xml:space="preserve"> une hausse de 24,9 % par rapport au </w:t>
      </w:r>
      <w:r>
        <w:rPr>
          <w:sz w:val="20"/>
          <w:szCs w:val="20"/>
        </w:rPr>
        <w:t>deuxième</w:t>
      </w:r>
      <w:r w:rsidRPr="006A47EA">
        <w:rPr>
          <w:sz w:val="20"/>
          <w:szCs w:val="20"/>
        </w:rPr>
        <w:t xml:space="preserve"> trimestre 2014, à </w:t>
      </w:r>
      <w:r w:rsidRPr="0066291A">
        <w:rPr>
          <w:sz w:val="20"/>
          <w:szCs w:val="20"/>
        </w:rPr>
        <w:t>1 053 millions d’euros. Celui d</w:t>
      </w:r>
      <w:r w:rsidRPr="0066291A">
        <w:rPr>
          <w:rStyle w:val="lev"/>
          <w:b w:val="0"/>
          <w:sz w:val="20"/>
          <w:szCs w:val="20"/>
        </w:rPr>
        <w:t>es métiers cœurs</w:t>
      </w:r>
      <w:r w:rsidRPr="0066291A">
        <w:rPr>
          <w:sz w:val="20"/>
          <w:szCs w:val="20"/>
        </w:rPr>
        <w:t xml:space="preserve"> progresse de 17,6 % et atteint 1 058 millions d’euros.</w:t>
      </w:r>
    </w:p>
    <w:p w:rsidR="00B25B9B" w:rsidRDefault="00B25B9B">
      <w:pPr>
        <w:jc w:val="left"/>
        <w:rPr>
          <w:color w:val="FF0000"/>
        </w:rPr>
      </w:pPr>
    </w:p>
    <w:p w:rsidR="008B1FF9" w:rsidRDefault="008B1FF9">
      <w:pPr>
        <w:jc w:val="left"/>
        <w:rPr>
          <w:color w:val="FF0000"/>
        </w:rPr>
      </w:pPr>
    </w:p>
    <w:p w:rsidR="00B25B9B" w:rsidRPr="00FD1FEC" w:rsidRDefault="00B25B9B">
      <w:pPr>
        <w:jc w:val="left"/>
        <w:rPr>
          <w:b/>
          <w:color w:val="FF0000"/>
        </w:rPr>
      </w:pPr>
      <w:r w:rsidRPr="00B25B9B">
        <w:rPr>
          <w:rStyle w:val="orange"/>
          <w:b/>
          <w:spacing w:val="-4"/>
          <w:sz w:val="20"/>
        </w:rPr>
        <w:t>1.</w:t>
      </w:r>
      <w:r w:rsidR="00AB7CB3">
        <w:rPr>
          <w:rStyle w:val="orange"/>
          <w:b/>
          <w:spacing w:val="-4"/>
          <w:sz w:val="20"/>
        </w:rPr>
        <w:t>2</w:t>
      </w:r>
      <w:r w:rsidR="008B1FF9">
        <w:rPr>
          <w:rStyle w:val="orange"/>
          <w:spacing w:val="-4"/>
          <w:sz w:val="20"/>
        </w:rPr>
        <w:t xml:space="preserve"> </w:t>
      </w:r>
      <w:r w:rsidR="00083913">
        <w:rPr>
          <w:rStyle w:val="orange"/>
          <w:b/>
          <w:color w:val="581D74" w:themeColor="accent1"/>
          <w:spacing w:val="-4"/>
          <w:sz w:val="20"/>
        </w:rPr>
        <w:t>R</w:t>
      </w:r>
      <w:r w:rsidRPr="00BD067B">
        <w:rPr>
          <w:rFonts w:eastAsia="Times New Roman"/>
          <w:b/>
          <w:color w:val="581D74" w:themeColor="accent1"/>
          <w:spacing w:val="-6"/>
          <w:sz w:val="20"/>
          <w:szCs w:val="20"/>
        </w:rPr>
        <w:t xml:space="preserve">ésultats </w:t>
      </w:r>
      <w:r w:rsidRPr="00B25B9B">
        <w:rPr>
          <w:rFonts w:eastAsia="Times New Roman"/>
          <w:b/>
          <w:color w:val="581D74"/>
          <w:spacing w:val="-6"/>
          <w:sz w:val="20"/>
          <w:szCs w:val="20"/>
        </w:rPr>
        <w:t>consolid</w:t>
      </w:r>
      <w:r w:rsidRPr="00A85319">
        <w:rPr>
          <w:rFonts w:eastAsia="Times New Roman"/>
          <w:b/>
          <w:color w:val="581D74"/>
          <w:spacing w:val="-6"/>
          <w:sz w:val="20"/>
          <w:szCs w:val="20"/>
        </w:rPr>
        <w:t>és</w:t>
      </w:r>
      <w:r w:rsidR="00A85319" w:rsidRPr="00A85319">
        <w:rPr>
          <w:rStyle w:val="Appelnotedebasdep"/>
          <w:color w:val="581D74"/>
          <w:spacing w:val="-4"/>
        </w:rPr>
        <w:fldChar w:fldCharType="begin"/>
      </w:r>
      <w:r w:rsidR="00A85319" w:rsidRPr="00A85319">
        <w:rPr>
          <w:rStyle w:val="Appelnotedebasdep"/>
          <w:spacing w:val="-4"/>
        </w:rPr>
        <w:instrText xml:space="preserve"> NOTEREF _Ref425872744 \f \h </w:instrText>
      </w:r>
      <w:r w:rsidR="00A85319">
        <w:rPr>
          <w:rStyle w:val="Appelnotedebasdep"/>
          <w:color w:val="581D74"/>
          <w:spacing w:val="-4"/>
        </w:rPr>
        <w:instrText xml:space="preserve"> \* MERGEFORMAT </w:instrText>
      </w:r>
      <w:r w:rsidR="00A85319" w:rsidRPr="00A85319">
        <w:rPr>
          <w:rStyle w:val="Appelnotedebasdep"/>
          <w:color w:val="581D74"/>
          <w:spacing w:val="-4"/>
        </w:rPr>
      </w:r>
      <w:r w:rsidR="00A85319" w:rsidRPr="00A85319">
        <w:rPr>
          <w:rStyle w:val="Appelnotedebasdep"/>
          <w:color w:val="581D74"/>
          <w:spacing w:val="-4"/>
        </w:rPr>
        <w:fldChar w:fldCharType="separate"/>
      </w:r>
      <w:r w:rsidR="00A92C86" w:rsidRPr="00A92C86">
        <w:rPr>
          <w:rStyle w:val="Appelnotedebasdep"/>
          <w:b/>
          <w:color w:val="581D74"/>
          <w:spacing w:val="-4"/>
        </w:rPr>
        <w:t>8</w:t>
      </w:r>
      <w:r w:rsidR="00A85319" w:rsidRPr="00A85319">
        <w:rPr>
          <w:rStyle w:val="Appelnotedebasdep"/>
          <w:color w:val="581D74"/>
          <w:spacing w:val="-4"/>
        </w:rPr>
        <w:fldChar w:fldCharType="end"/>
      </w:r>
      <w:r w:rsidR="00AB7CB3">
        <w:rPr>
          <w:rFonts w:eastAsia="Times New Roman"/>
          <w:b/>
          <w:color w:val="581D74"/>
          <w:spacing w:val="-6"/>
          <w:sz w:val="20"/>
          <w:szCs w:val="20"/>
        </w:rPr>
        <w:t xml:space="preserve"> du premier semestre</w:t>
      </w:r>
      <w:r w:rsidRPr="00B25B9B">
        <w:rPr>
          <w:rFonts w:eastAsia="Times New Roman"/>
          <w:b/>
          <w:color w:val="581D74"/>
          <w:spacing w:val="-6"/>
          <w:sz w:val="20"/>
          <w:szCs w:val="20"/>
        </w:rPr>
        <w:t xml:space="preserve"> 2015</w:t>
      </w:r>
      <w:r w:rsidR="00F051D1">
        <w:rPr>
          <w:rFonts w:eastAsia="Times New Roman"/>
          <w:b/>
          <w:color w:val="581D74"/>
          <w:spacing w:val="-6"/>
          <w:sz w:val="20"/>
          <w:szCs w:val="20"/>
        </w:rPr>
        <w:t xml:space="preserve"> : le </w:t>
      </w:r>
      <w:r w:rsidR="00F051D1" w:rsidRPr="00F051D1">
        <w:rPr>
          <w:rFonts w:eastAsia="Times New Roman"/>
          <w:b/>
          <w:color w:val="581D74"/>
          <w:spacing w:val="-6"/>
          <w:sz w:val="20"/>
          <w:szCs w:val="20"/>
        </w:rPr>
        <w:t>résultat net</w:t>
      </w:r>
      <w:r w:rsidR="006E6F26" w:rsidRPr="00FA2D04">
        <w:rPr>
          <w:rFonts w:eastAsia="Times New Roman"/>
          <w:b/>
          <w:color w:val="581D74" w:themeColor="accent1"/>
          <w:spacing w:val="-6"/>
          <w:sz w:val="20"/>
          <w:szCs w:val="20"/>
        </w:rPr>
        <w:fldChar w:fldCharType="begin"/>
      </w:r>
      <w:r w:rsidR="006E6F26" w:rsidRPr="00FA2D04">
        <w:rPr>
          <w:rFonts w:eastAsia="Times New Roman"/>
          <w:b/>
          <w:color w:val="581D74" w:themeColor="accent1"/>
          <w:spacing w:val="-6"/>
          <w:sz w:val="20"/>
          <w:szCs w:val="20"/>
        </w:rPr>
        <w:instrText xml:space="preserve"> NOTEREF _Ref426022220 \f \h </w:instrText>
      </w:r>
      <w:r w:rsidR="00FA2D04" w:rsidRPr="00FA2D04">
        <w:rPr>
          <w:rFonts w:eastAsia="Times New Roman"/>
          <w:b/>
          <w:color w:val="581D74" w:themeColor="accent1"/>
          <w:spacing w:val="-6"/>
          <w:sz w:val="20"/>
          <w:szCs w:val="20"/>
        </w:rPr>
        <w:instrText xml:space="preserve"> \* MERGEFORMAT </w:instrText>
      </w:r>
      <w:r w:rsidR="006E6F26" w:rsidRPr="00FA2D04">
        <w:rPr>
          <w:rFonts w:eastAsia="Times New Roman"/>
          <w:b/>
          <w:color w:val="581D74" w:themeColor="accent1"/>
          <w:spacing w:val="-6"/>
          <w:sz w:val="20"/>
          <w:szCs w:val="20"/>
        </w:rPr>
      </w:r>
      <w:r w:rsidR="006E6F26" w:rsidRPr="00FA2D04">
        <w:rPr>
          <w:rFonts w:eastAsia="Times New Roman"/>
          <w:b/>
          <w:color w:val="581D74" w:themeColor="accent1"/>
          <w:spacing w:val="-6"/>
          <w:sz w:val="20"/>
          <w:szCs w:val="20"/>
        </w:rPr>
        <w:fldChar w:fldCharType="separate"/>
      </w:r>
      <w:r w:rsidR="00A92C86" w:rsidRPr="00A92C86">
        <w:rPr>
          <w:rStyle w:val="Appelnotedebasdep"/>
          <w:b/>
          <w:color w:val="581D74" w:themeColor="accent1"/>
        </w:rPr>
        <w:t>9</w:t>
      </w:r>
      <w:r w:rsidR="006E6F26" w:rsidRPr="00FA2D04">
        <w:rPr>
          <w:rFonts w:eastAsia="Times New Roman"/>
          <w:b/>
          <w:color w:val="581D74" w:themeColor="accent1"/>
          <w:spacing w:val="-6"/>
          <w:sz w:val="20"/>
          <w:szCs w:val="20"/>
        </w:rPr>
        <w:fldChar w:fldCharType="end"/>
      </w:r>
      <w:r w:rsidR="00FA2D04" w:rsidRPr="00FA2D04">
        <w:rPr>
          <w:rFonts w:eastAsia="Times New Roman"/>
          <w:b/>
          <w:color w:val="581D74" w:themeColor="accent1"/>
          <w:spacing w:val="-6"/>
          <w:sz w:val="20"/>
          <w:szCs w:val="20"/>
          <w:vertAlign w:val="superscript"/>
        </w:rPr>
        <w:t>,</w:t>
      </w:r>
      <w:r w:rsidR="00FA2D04" w:rsidRPr="00FA2D04">
        <w:rPr>
          <w:rFonts w:eastAsia="Times New Roman"/>
          <w:b/>
          <w:color w:val="581D74" w:themeColor="accent1"/>
          <w:spacing w:val="-6"/>
          <w:sz w:val="20"/>
          <w:szCs w:val="20"/>
        </w:rPr>
        <w:fldChar w:fldCharType="begin"/>
      </w:r>
      <w:r w:rsidR="00FA2D04" w:rsidRPr="00FA2D04">
        <w:rPr>
          <w:rFonts w:eastAsia="Times New Roman"/>
          <w:b/>
          <w:color w:val="581D74" w:themeColor="accent1"/>
          <w:spacing w:val="-6"/>
          <w:sz w:val="20"/>
          <w:szCs w:val="20"/>
        </w:rPr>
        <w:instrText xml:space="preserve"> NOTEREF _Ref426022919 \f \h  \* MERGEFORMAT </w:instrText>
      </w:r>
      <w:r w:rsidR="00FA2D04" w:rsidRPr="00FA2D04">
        <w:rPr>
          <w:rFonts w:eastAsia="Times New Roman"/>
          <w:b/>
          <w:color w:val="581D74" w:themeColor="accent1"/>
          <w:spacing w:val="-6"/>
          <w:sz w:val="20"/>
          <w:szCs w:val="20"/>
        </w:rPr>
      </w:r>
      <w:r w:rsidR="00FA2D04" w:rsidRPr="00FA2D04">
        <w:rPr>
          <w:rFonts w:eastAsia="Times New Roman"/>
          <w:b/>
          <w:color w:val="581D74" w:themeColor="accent1"/>
          <w:spacing w:val="-6"/>
          <w:sz w:val="20"/>
          <w:szCs w:val="20"/>
        </w:rPr>
        <w:fldChar w:fldCharType="separate"/>
      </w:r>
      <w:r w:rsidR="00A92C86" w:rsidRPr="00A92C86">
        <w:rPr>
          <w:rStyle w:val="Appelnotedebasdep"/>
          <w:b/>
          <w:color w:val="581D74" w:themeColor="accent1"/>
        </w:rPr>
        <w:t>13</w:t>
      </w:r>
      <w:r w:rsidR="00FA2D04" w:rsidRPr="00FA2D04">
        <w:rPr>
          <w:rFonts w:eastAsia="Times New Roman"/>
          <w:b/>
          <w:color w:val="581D74" w:themeColor="accent1"/>
          <w:spacing w:val="-6"/>
          <w:sz w:val="20"/>
          <w:szCs w:val="20"/>
        </w:rPr>
        <w:fldChar w:fldCharType="end"/>
      </w:r>
      <w:r w:rsidR="0065769C">
        <w:rPr>
          <w:rFonts w:eastAsia="Times New Roman"/>
          <w:b/>
          <w:color w:val="581D74"/>
          <w:spacing w:val="-6"/>
          <w:sz w:val="20"/>
          <w:szCs w:val="20"/>
        </w:rPr>
        <w:t xml:space="preserve"> </w:t>
      </w:r>
      <w:r w:rsidR="00F051D1">
        <w:rPr>
          <w:rFonts w:eastAsia="Times New Roman"/>
          <w:b/>
          <w:color w:val="581D74"/>
          <w:spacing w:val="-6"/>
          <w:sz w:val="20"/>
          <w:szCs w:val="20"/>
        </w:rPr>
        <w:t>des métiers cœurs s’élève à 2 milliards d’euros, en hausse de 14,1 %</w:t>
      </w:r>
    </w:p>
    <w:p w:rsidR="00AB7CB3" w:rsidRDefault="00AB7CB3">
      <w:pPr>
        <w:jc w:val="left"/>
      </w:pPr>
    </w:p>
    <w:p w:rsidR="00AB7CB3" w:rsidRPr="00FD1FEC" w:rsidRDefault="00AB7CB3" w:rsidP="00AB7CB3">
      <w:pPr>
        <w:pStyle w:val="2-TEXTECOURANTcommuniqu"/>
        <w:rPr>
          <w:color w:val="FF0000"/>
          <w:spacing w:val="0"/>
        </w:rPr>
      </w:pPr>
      <w:r w:rsidRPr="00116486">
        <w:rPr>
          <w:spacing w:val="0"/>
        </w:rPr>
        <w:t xml:space="preserve">Le </w:t>
      </w:r>
      <w:r w:rsidRPr="00116486">
        <w:rPr>
          <w:rStyle w:val="lev"/>
          <w:spacing w:val="0"/>
        </w:rPr>
        <w:t>produit net bancaire</w:t>
      </w:r>
      <w:r w:rsidR="0065769C">
        <w:rPr>
          <w:rStyle w:val="lev"/>
          <w:spacing w:val="0"/>
        </w:rPr>
        <w:fldChar w:fldCharType="begin"/>
      </w:r>
      <w:r w:rsidR="0065769C">
        <w:rPr>
          <w:rStyle w:val="lev"/>
          <w:spacing w:val="0"/>
        </w:rPr>
        <w:instrText xml:space="preserve"> NOTEREF _Ref426022220 \f \h </w:instrText>
      </w:r>
      <w:r w:rsidR="0065769C">
        <w:rPr>
          <w:rStyle w:val="lev"/>
          <w:spacing w:val="0"/>
        </w:rPr>
      </w:r>
      <w:r w:rsidR="0065769C">
        <w:rPr>
          <w:rStyle w:val="lev"/>
          <w:spacing w:val="0"/>
        </w:rPr>
        <w:fldChar w:fldCharType="separate"/>
      </w:r>
      <w:r w:rsidR="00A92C86" w:rsidRPr="00A92C86">
        <w:rPr>
          <w:rStyle w:val="Appelnotedebasdep"/>
        </w:rPr>
        <w:t>9</w:t>
      </w:r>
      <w:r w:rsidR="0065769C">
        <w:rPr>
          <w:rStyle w:val="lev"/>
          <w:spacing w:val="0"/>
        </w:rPr>
        <w:fldChar w:fldCharType="end"/>
      </w:r>
      <w:r w:rsidR="006E6F26">
        <w:rPr>
          <w:rStyle w:val="lev"/>
          <w:spacing w:val="0"/>
        </w:rPr>
        <w:t xml:space="preserve"> </w:t>
      </w:r>
      <w:r w:rsidRPr="00116486">
        <w:rPr>
          <w:spacing w:val="0"/>
        </w:rPr>
        <w:t xml:space="preserve">du Groupe </w:t>
      </w:r>
      <w:r w:rsidRPr="00B061C8">
        <w:rPr>
          <w:spacing w:val="0"/>
        </w:rPr>
        <w:t>BPCE atteint</w:t>
      </w:r>
      <w:r w:rsidR="00865C26">
        <w:rPr>
          <w:spacing w:val="0"/>
        </w:rPr>
        <w:t>, au premier semestre 2015,</w:t>
      </w:r>
      <w:r w:rsidRPr="00B061C8">
        <w:rPr>
          <w:spacing w:val="0"/>
        </w:rPr>
        <w:t xml:space="preserve"> </w:t>
      </w:r>
      <w:r w:rsidR="00B061C8" w:rsidRPr="00B061C8">
        <w:rPr>
          <w:spacing w:val="0"/>
        </w:rPr>
        <w:t>12</w:t>
      </w:r>
      <w:r w:rsidR="000F6741">
        <w:rPr>
          <w:spacing w:val="0"/>
        </w:rPr>
        <w:t> </w:t>
      </w:r>
      <w:r w:rsidR="00B061C8" w:rsidRPr="00B061C8">
        <w:rPr>
          <w:spacing w:val="0"/>
        </w:rPr>
        <w:t>143</w:t>
      </w:r>
      <w:r w:rsidR="000F6741">
        <w:rPr>
          <w:spacing w:val="0"/>
        </w:rPr>
        <w:t> </w:t>
      </w:r>
      <w:r w:rsidRPr="00B061C8">
        <w:rPr>
          <w:spacing w:val="0"/>
        </w:rPr>
        <w:t xml:space="preserve">millions d’euros, en hausse de </w:t>
      </w:r>
      <w:r w:rsidR="00B061C8" w:rsidRPr="00B061C8">
        <w:rPr>
          <w:spacing w:val="0"/>
        </w:rPr>
        <w:t>6</w:t>
      </w:r>
      <w:r w:rsidRPr="00B061C8">
        <w:rPr>
          <w:spacing w:val="0"/>
        </w:rPr>
        <w:t>,</w:t>
      </w:r>
      <w:r w:rsidR="00B061C8" w:rsidRPr="00B061C8">
        <w:rPr>
          <w:spacing w:val="0"/>
        </w:rPr>
        <w:t>7</w:t>
      </w:r>
      <w:r w:rsidR="00885882">
        <w:rPr>
          <w:spacing w:val="0"/>
        </w:rPr>
        <w:t> </w:t>
      </w:r>
      <w:r w:rsidRPr="00B061C8">
        <w:rPr>
          <w:spacing w:val="0"/>
        </w:rPr>
        <w:t xml:space="preserve">% par rapport au premier </w:t>
      </w:r>
      <w:r w:rsidR="00B061C8">
        <w:rPr>
          <w:spacing w:val="0"/>
        </w:rPr>
        <w:t>semestre</w:t>
      </w:r>
      <w:r w:rsidRPr="00B061C8">
        <w:rPr>
          <w:spacing w:val="0"/>
        </w:rPr>
        <w:t xml:space="preserve"> 2014. </w:t>
      </w:r>
      <w:r w:rsidRPr="00C90AFE">
        <w:rPr>
          <w:spacing w:val="0"/>
        </w:rPr>
        <w:t xml:space="preserve">Les métiers cœurs participent au produit net bancaire à hauteur de </w:t>
      </w:r>
      <w:r w:rsidR="00C90AFE" w:rsidRPr="00C90AFE">
        <w:rPr>
          <w:spacing w:val="0"/>
        </w:rPr>
        <w:t>11 815</w:t>
      </w:r>
      <w:r w:rsidRPr="00C90AFE">
        <w:rPr>
          <w:spacing w:val="0"/>
        </w:rPr>
        <w:t xml:space="preserve"> millions d’euros, en hausse de </w:t>
      </w:r>
      <w:r w:rsidR="00C90AFE" w:rsidRPr="00C90AFE">
        <w:rPr>
          <w:spacing w:val="0"/>
        </w:rPr>
        <w:t>7,2</w:t>
      </w:r>
      <w:r w:rsidRPr="00C90AFE">
        <w:rPr>
          <w:spacing w:val="0"/>
        </w:rPr>
        <w:t xml:space="preserve"> % par rapport au premier </w:t>
      </w:r>
      <w:r w:rsidR="00C90AFE" w:rsidRPr="00C90AFE">
        <w:rPr>
          <w:spacing w:val="0"/>
        </w:rPr>
        <w:t>semestre</w:t>
      </w:r>
      <w:r w:rsidRPr="00C90AFE">
        <w:rPr>
          <w:spacing w:val="0"/>
        </w:rPr>
        <w:t xml:space="preserve"> 2014</w:t>
      </w:r>
      <w:r w:rsidR="00BC6054">
        <w:rPr>
          <w:spacing w:val="0"/>
        </w:rPr>
        <w:t xml:space="preserve"> (+ 4,5 % à change constant)</w:t>
      </w:r>
      <w:r w:rsidRPr="00C90AFE">
        <w:rPr>
          <w:spacing w:val="0"/>
        </w:rPr>
        <w:t xml:space="preserve">. </w:t>
      </w:r>
    </w:p>
    <w:p w:rsidR="00AB7CB3" w:rsidRPr="00FD1FEC" w:rsidRDefault="00AB7CB3" w:rsidP="00AB7CB3">
      <w:pPr>
        <w:pStyle w:val="2-TEXTECOURANTcommuniqu"/>
        <w:rPr>
          <w:color w:val="FF0000"/>
          <w:spacing w:val="0"/>
        </w:rPr>
      </w:pPr>
    </w:p>
    <w:p w:rsidR="00AB7CB3" w:rsidRPr="00FD1FEC" w:rsidRDefault="00AB7CB3" w:rsidP="00AB7CB3">
      <w:pPr>
        <w:pStyle w:val="2-TEXTECOURANTcommuniqu"/>
        <w:rPr>
          <w:color w:val="FF0000"/>
          <w:spacing w:val="0"/>
        </w:rPr>
      </w:pPr>
      <w:r w:rsidRPr="00BE7193">
        <w:rPr>
          <w:spacing w:val="0"/>
        </w:rPr>
        <w:t xml:space="preserve">Les </w:t>
      </w:r>
      <w:r w:rsidRPr="00BE7193">
        <w:rPr>
          <w:rStyle w:val="lev"/>
          <w:spacing w:val="0"/>
        </w:rPr>
        <w:t xml:space="preserve">frais </w:t>
      </w:r>
      <w:r w:rsidRPr="00F81ACF">
        <w:rPr>
          <w:rStyle w:val="lev"/>
          <w:spacing w:val="0"/>
        </w:rPr>
        <w:t>de gestion</w:t>
      </w:r>
      <w:r w:rsidRPr="00F81ACF">
        <w:rPr>
          <w:spacing w:val="0"/>
        </w:rPr>
        <w:t xml:space="preserve"> du groupe s’élèvent à </w:t>
      </w:r>
      <w:r w:rsidR="00BE7193" w:rsidRPr="00F81ACF">
        <w:rPr>
          <w:spacing w:val="0"/>
        </w:rPr>
        <w:t>8</w:t>
      </w:r>
      <w:r w:rsidRPr="00F81ACF">
        <w:rPr>
          <w:spacing w:val="0"/>
        </w:rPr>
        <w:t xml:space="preserve"> </w:t>
      </w:r>
      <w:r w:rsidR="00BE7193" w:rsidRPr="00F81ACF">
        <w:rPr>
          <w:spacing w:val="0"/>
        </w:rPr>
        <w:t>087</w:t>
      </w:r>
      <w:r w:rsidRPr="00F81ACF">
        <w:rPr>
          <w:spacing w:val="0"/>
        </w:rPr>
        <w:t xml:space="preserve"> millions d’euros, en hausse de </w:t>
      </w:r>
      <w:r w:rsidR="00BE7193" w:rsidRPr="00F81ACF">
        <w:rPr>
          <w:spacing w:val="0"/>
        </w:rPr>
        <w:t>2</w:t>
      </w:r>
      <w:r w:rsidRPr="00F81ACF">
        <w:rPr>
          <w:spacing w:val="0"/>
        </w:rPr>
        <w:t>,</w:t>
      </w:r>
      <w:r w:rsidR="00BE7193" w:rsidRPr="00F81ACF">
        <w:rPr>
          <w:spacing w:val="0"/>
        </w:rPr>
        <w:t>7</w:t>
      </w:r>
      <w:r w:rsidRPr="00F81ACF">
        <w:rPr>
          <w:spacing w:val="0"/>
        </w:rPr>
        <w:t xml:space="preserve"> % sur un an. Ceux des métiers cœurs, à </w:t>
      </w:r>
      <w:r w:rsidR="00F81ACF" w:rsidRPr="00F81ACF">
        <w:rPr>
          <w:spacing w:val="0"/>
        </w:rPr>
        <w:t>7</w:t>
      </w:r>
      <w:r w:rsidRPr="00F81ACF">
        <w:rPr>
          <w:spacing w:val="0"/>
        </w:rPr>
        <w:t xml:space="preserve"> </w:t>
      </w:r>
      <w:r w:rsidR="00F81ACF" w:rsidRPr="00F81ACF">
        <w:rPr>
          <w:spacing w:val="0"/>
        </w:rPr>
        <w:t>588</w:t>
      </w:r>
      <w:r w:rsidRPr="00F81ACF">
        <w:rPr>
          <w:spacing w:val="0"/>
        </w:rPr>
        <w:t xml:space="preserve"> millio</w:t>
      </w:r>
      <w:r w:rsidR="008D78FB">
        <w:rPr>
          <w:spacing w:val="0"/>
        </w:rPr>
        <w:t>ns d’euros, augmentent</w:t>
      </w:r>
      <w:r w:rsidRPr="00F81ACF">
        <w:rPr>
          <w:spacing w:val="0"/>
        </w:rPr>
        <w:t xml:space="preserve"> de 3,</w:t>
      </w:r>
      <w:r w:rsidR="00F81ACF" w:rsidRPr="00F81ACF">
        <w:rPr>
          <w:spacing w:val="0"/>
        </w:rPr>
        <w:t>6</w:t>
      </w:r>
      <w:r w:rsidRPr="00F81ACF">
        <w:rPr>
          <w:spacing w:val="0"/>
        </w:rPr>
        <w:t xml:space="preserve"> %.</w:t>
      </w:r>
    </w:p>
    <w:p w:rsidR="00AB7CB3" w:rsidRPr="00F81ACF" w:rsidRDefault="00AB7CB3" w:rsidP="00AB7CB3">
      <w:pPr>
        <w:pStyle w:val="2-TEXTECOURANTcommuniqu"/>
        <w:rPr>
          <w:spacing w:val="0"/>
        </w:rPr>
      </w:pPr>
    </w:p>
    <w:p w:rsidR="00AB7CB3" w:rsidRPr="00FD1FEC" w:rsidRDefault="00AB7CB3" w:rsidP="00AB7CB3">
      <w:pPr>
        <w:pStyle w:val="2-TEXTECOURANTcommuniqu"/>
        <w:rPr>
          <w:color w:val="FF0000"/>
          <w:spacing w:val="0"/>
        </w:rPr>
      </w:pPr>
      <w:r w:rsidRPr="00F81ACF">
        <w:rPr>
          <w:spacing w:val="0"/>
        </w:rPr>
        <w:t xml:space="preserve">Le </w:t>
      </w:r>
      <w:r w:rsidRPr="00F81ACF">
        <w:rPr>
          <w:rStyle w:val="lev"/>
          <w:spacing w:val="0"/>
        </w:rPr>
        <w:t>résultat brut d’exploitatio</w:t>
      </w:r>
      <w:r w:rsidR="006E6F26">
        <w:rPr>
          <w:rStyle w:val="lev"/>
          <w:spacing w:val="0"/>
        </w:rPr>
        <w:t>n</w:t>
      </w:r>
      <w:r w:rsidR="0065769C">
        <w:rPr>
          <w:rStyle w:val="lev"/>
          <w:spacing w:val="0"/>
        </w:rPr>
        <w:fldChar w:fldCharType="begin"/>
      </w:r>
      <w:r w:rsidR="0065769C">
        <w:rPr>
          <w:rStyle w:val="lev"/>
          <w:spacing w:val="0"/>
        </w:rPr>
        <w:instrText xml:space="preserve"> NOTEREF _Ref426022220 \f \h </w:instrText>
      </w:r>
      <w:r w:rsidR="0065769C">
        <w:rPr>
          <w:rStyle w:val="lev"/>
          <w:spacing w:val="0"/>
        </w:rPr>
      </w:r>
      <w:r w:rsidR="0065769C">
        <w:rPr>
          <w:rStyle w:val="lev"/>
          <w:spacing w:val="0"/>
        </w:rPr>
        <w:fldChar w:fldCharType="separate"/>
      </w:r>
      <w:r w:rsidR="00A92C86" w:rsidRPr="00A92C86">
        <w:rPr>
          <w:rStyle w:val="Appelnotedebasdep"/>
        </w:rPr>
        <w:t>9</w:t>
      </w:r>
      <w:r w:rsidR="0065769C">
        <w:rPr>
          <w:rStyle w:val="lev"/>
          <w:spacing w:val="0"/>
        </w:rPr>
        <w:fldChar w:fldCharType="end"/>
      </w:r>
      <w:r w:rsidR="009463E5">
        <w:rPr>
          <w:rStyle w:val="lev"/>
          <w:spacing w:val="0"/>
        </w:rPr>
        <w:t xml:space="preserve"> </w:t>
      </w:r>
      <w:r w:rsidRPr="00F81ACF">
        <w:rPr>
          <w:spacing w:val="0"/>
        </w:rPr>
        <w:t xml:space="preserve">s’élève à </w:t>
      </w:r>
      <w:r w:rsidR="00F81ACF" w:rsidRPr="00F81ACF">
        <w:rPr>
          <w:spacing w:val="0"/>
        </w:rPr>
        <w:t>4</w:t>
      </w:r>
      <w:r w:rsidRPr="00F81ACF">
        <w:rPr>
          <w:spacing w:val="0"/>
        </w:rPr>
        <w:t xml:space="preserve"> 0</w:t>
      </w:r>
      <w:r w:rsidR="00F81ACF" w:rsidRPr="00F81ACF">
        <w:rPr>
          <w:spacing w:val="0"/>
        </w:rPr>
        <w:t>56</w:t>
      </w:r>
      <w:r w:rsidRPr="00F81ACF">
        <w:rPr>
          <w:spacing w:val="0"/>
        </w:rPr>
        <w:t xml:space="preserve"> millions d’euros, en hausse de </w:t>
      </w:r>
      <w:r w:rsidR="00F81ACF" w:rsidRPr="00F81ACF">
        <w:rPr>
          <w:spacing w:val="0"/>
        </w:rPr>
        <w:t>15</w:t>
      </w:r>
      <w:r w:rsidRPr="00F81ACF">
        <w:rPr>
          <w:spacing w:val="0"/>
        </w:rPr>
        <w:t>,</w:t>
      </w:r>
      <w:r w:rsidR="00F81ACF" w:rsidRPr="00F81ACF">
        <w:rPr>
          <w:spacing w:val="0"/>
        </w:rPr>
        <w:t>5</w:t>
      </w:r>
      <w:r w:rsidRPr="00F81ACF">
        <w:rPr>
          <w:spacing w:val="0"/>
        </w:rPr>
        <w:t xml:space="preserve"> % par rapport au premier </w:t>
      </w:r>
      <w:r w:rsidR="00F81ACF" w:rsidRPr="00F81ACF">
        <w:rPr>
          <w:spacing w:val="0"/>
        </w:rPr>
        <w:t>semestre</w:t>
      </w:r>
      <w:r w:rsidRPr="00F81ACF">
        <w:rPr>
          <w:spacing w:val="0"/>
        </w:rPr>
        <w:t xml:space="preserve"> 2014. La contribution des métiers cœurs atteint </w:t>
      </w:r>
      <w:r w:rsidR="00F81ACF" w:rsidRPr="00F81ACF">
        <w:rPr>
          <w:spacing w:val="0"/>
        </w:rPr>
        <w:t>4</w:t>
      </w:r>
      <w:r w:rsidRPr="00F81ACF">
        <w:rPr>
          <w:spacing w:val="0"/>
        </w:rPr>
        <w:t xml:space="preserve"> </w:t>
      </w:r>
      <w:r w:rsidR="00F81ACF" w:rsidRPr="00F81ACF">
        <w:rPr>
          <w:spacing w:val="0"/>
        </w:rPr>
        <w:t>227</w:t>
      </w:r>
      <w:r w:rsidRPr="00F81ACF">
        <w:rPr>
          <w:spacing w:val="0"/>
        </w:rPr>
        <w:t xml:space="preserve"> millions d’euros, en hausse de 1</w:t>
      </w:r>
      <w:r w:rsidR="00F81ACF" w:rsidRPr="00F81ACF">
        <w:rPr>
          <w:spacing w:val="0"/>
        </w:rPr>
        <w:t>4</w:t>
      </w:r>
      <w:r w:rsidRPr="00F81ACF">
        <w:rPr>
          <w:spacing w:val="0"/>
        </w:rPr>
        <w:t>,</w:t>
      </w:r>
      <w:r w:rsidR="00F81ACF" w:rsidRPr="00F81ACF">
        <w:rPr>
          <w:spacing w:val="0"/>
        </w:rPr>
        <w:t>2</w:t>
      </w:r>
      <w:r w:rsidRPr="00F81ACF">
        <w:rPr>
          <w:spacing w:val="0"/>
        </w:rPr>
        <w:t> % sur un an.</w:t>
      </w:r>
    </w:p>
    <w:p w:rsidR="00AB7CB3" w:rsidRDefault="00AB7CB3" w:rsidP="00AB7CB3">
      <w:pPr>
        <w:pStyle w:val="2-TEXTECOURANTcommuniqu"/>
        <w:rPr>
          <w:color w:val="FF0000"/>
          <w:spacing w:val="0"/>
        </w:rPr>
      </w:pPr>
    </w:p>
    <w:p w:rsidR="0031432A" w:rsidRDefault="0031432A" w:rsidP="00AB7CB3">
      <w:pPr>
        <w:pStyle w:val="2-TEXTECOURANTcommuniqu"/>
        <w:rPr>
          <w:color w:val="FF0000"/>
          <w:spacing w:val="0"/>
        </w:rPr>
      </w:pPr>
      <w:r>
        <w:rPr>
          <w:spacing w:val="0"/>
        </w:rPr>
        <w:t xml:space="preserve">Le </w:t>
      </w:r>
      <w:r w:rsidRPr="00422BD3">
        <w:rPr>
          <w:b/>
          <w:spacing w:val="0"/>
        </w:rPr>
        <w:t>coût du risqu</w:t>
      </w:r>
      <w:r w:rsidR="006E6F26">
        <w:rPr>
          <w:b/>
          <w:spacing w:val="0"/>
        </w:rPr>
        <w:t>e</w:t>
      </w:r>
      <w:r w:rsidR="0065769C">
        <w:rPr>
          <w:b/>
          <w:spacing w:val="0"/>
        </w:rPr>
        <w:fldChar w:fldCharType="begin"/>
      </w:r>
      <w:r w:rsidR="0065769C">
        <w:rPr>
          <w:b/>
          <w:spacing w:val="0"/>
        </w:rPr>
        <w:instrText xml:space="preserve"> NOTEREF _Ref426022220 \f \h </w:instrText>
      </w:r>
      <w:r w:rsidR="0065769C">
        <w:rPr>
          <w:b/>
          <w:spacing w:val="0"/>
        </w:rPr>
      </w:r>
      <w:r w:rsidR="0065769C">
        <w:rPr>
          <w:b/>
          <w:spacing w:val="0"/>
        </w:rPr>
        <w:fldChar w:fldCharType="separate"/>
      </w:r>
      <w:r w:rsidR="00A92C86" w:rsidRPr="00A92C86">
        <w:rPr>
          <w:rStyle w:val="Appelnotedebasdep"/>
        </w:rPr>
        <w:t>9</w:t>
      </w:r>
      <w:r w:rsidR="0065769C">
        <w:rPr>
          <w:b/>
          <w:spacing w:val="0"/>
        </w:rPr>
        <w:fldChar w:fldCharType="end"/>
      </w:r>
      <w:r w:rsidR="006E6F26">
        <w:rPr>
          <w:b/>
          <w:spacing w:val="0"/>
        </w:rPr>
        <w:t xml:space="preserve"> </w:t>
      </w:r>
      <w:r>
        <w:rPr>
          <w:spacing w:val="0"/>
        </w:rPr>
        <w:t>augmente légèrement au premier semestre 2015, de 1 %, s’établissant à 929 millions d’euros</w:t>
      </w:r>
      <w:r w:rsidR="002B33BA">
        <w:rPr>
          <w:spacing w:val="0"/>
        </w:rPr>
        <w:t>, soit 33 points de base.</w:t>
      </w:r>
    </w:p>
    <w:p w:rsidR="0031432A" w:rsidRPr="00FD1FEC" w:rsidRDefault="0031432A" w:rsidP="00AB7CB3">
      <w:pPr>
        <w:pStyle w:val="2-TEXTECOURANTcommuniqu"/>
        <w:rPr>
          <w:color w:val="FF0000"/>
          <w:spacing w:val="0"/>
        </w:rPr>
      </w:pPr>
    </w:p>
    <w:p w:rsidR="00AB7CB3" w:rsidRPr="00FD1FEC" w:rsidRDefault="00AB7CB3" w:rsidP="00AB7CB3">
      <w:pPr>
        <w:pStyle w:val="2-TEXTECOURANTcommuniqu"/>
        <w:rPr>
          <w:color w:val="FF0000"/>
          <w:spacing w:val="0"/>
        </w:rPr>
      </w:pPr>
      <w:r w:rsidRPr="00BF203C">
        <w:rPr>
          <w:spacing w:val="0"/>
        </w:rPr>
        <w:t xml:space="preserve">Le </w:t>
      </w:r>
      <w:r w:rsidRPr="00BF203C">
        <w:rPr>
          <w:rStyle w:val="lev"/>
          <w:spacing w:val="0"/>
        </w:rPr>
        <w:t>résultat avant impôt</w:t>
      </w:r>
      <w:r w:rsidR="0065769C">
        <w:rPr>
          <w:rStyle w:val="lev"/>
          <w:spacing w:val="0"/>
        </w:rPr>
        <w:fldChar w:fldCharType="begin"/>
      </w:r>
      <w:r w:rsidR="0065769C">
        <w:rPr>
          <w:rStyle w:val="lev"/>
          <w:spacing w:val="0"/>
        </w:rPr>
        <w:instrText xml:space="preserve"> NOTEREF _Ref426022220 \f \h </w:instrText>
      </w:r>
      <w:r w:rsidR="0065769C">
        <w:rPr>
          <w:rStyle w:val="lev"/>
          <w:spacing w:val="0"/>
        </w:rPr>
      </w:r>
      <w:r w:rsidR="0065769C">
        <w:rPr>
          <w:rStyle w:val="lev"/>
          <w:spacing w:val="0"/>
        </w:rPr>
        <w:fldChar w:fldCharType="separate"/>
      </w:r>
      <w:r w:rsidR="00A92C86" w:rsidRPr="00A92C86">
        <w:rPr>
          <w:rStyle w:val="Appelnotedebasdep"/>
        </w:rPr>
        <w:t>9</w:t>
      </w:r>
      <w:r w:rsidR="0065769C">
        <w:rPr>
          <w:rStyle w:val="lev"/>
          <w:spacing w:val="0"/>
        </w:rPr>
        <w:fldChar w:fldCharType="end"/>
      </w:r>
      <w:r w:rsidR="006E6F26">
        <w:rPr>
          <w:rStyle w:val="lev"/>
          <w:spacing w:val="0"/>
        </w:rPr>
        <w:t xml:space="preserve"> </w:t>
      </w:r>
      <w:r w:rsidRPr="00BF203C">
        <w:rPr>
          <w:spacing w:val="0"/>
        </w:rPr>
        <w:t xml:space="preserve">progresse </w:t>
      </w:r>
      <w:r w:rsidR="00BC6054">
        <w:rPr>
          <w:spacing w:val="0"/>
        </w:rPr>
        <w:t>fortement, de</w:t>
      </w:r>
      <w:r w:rsidRPr="00BF203C">
        <w:rPr>
          <w:spacing w:val="0"/>
        </w:rPr>
        <w:t xml:space="preserve"> </w:t>
      </w:r>
      <w:r w:rsidR="00BF203C" w:rsidRPr="00BF203C">
        <w:rPr>
          <w:spacing w:val="0"/>
        </w:rPr>
        <w:t>19</w:t>
      </w:r>
      <w:r w:rsidRPr="00BF203C">
        <w:rPr>
          <w:spacing w:val="0"/>
        </w:rPr>
        <w:t>,</w:t>
      </w:r>
      <w:r w:rsidR="00BF203C" w:rsidRPr="00BF203C">
        <w:rPr>
          <w:spacing w:val="0"/>
        </w:rPr>
        <w:t>2</w:t>
      </w:r>
      <w:r w:rsidRPr="00BF203C">
        <w:rPr>
          <w:spacing w:val="0"/>
        </w:rPr>
        <w:t xml:space="preserve"> % sur un an et s’établit à </w:t>
      </w:r>
      <w:r w:rsidR="00BF203C" w:rsidRPr="00BF203C">
        <w:rPr>
          <w:spacing w:val="0"/>
        </w:rPr>
        <w:t>3</w:t>
      </w:r>
      <w:r w:rsidR="00D26CF2">
        <w:rPr>
          <w:spacing w:val="0"/>
        </w:rPr>
        <w:t> </w:t>
      </w:r>
      <w:r w:rsidR="00BF203C" w:rsidRPr="00BF203C">
        <w:rPr>
          <w:spacing w:val="0"/>
        </w:rPr>
        <w:t>276</w:t>
      </w:r>
      <w:r w:rsidR="00D26CF2">
        <w:rPr>
          <w:spacing w:val="0"/>
        </w:rPr>
        <w:t> </w:t>
      </w:r>
      <w:r w:rsidRPr="00BF203C">
        <w:rPr>
          <w:spacing w:val="0"/>
        </w:rPr>
        <w:t xml:space="preserve">millions d’euros au premier </w:t>
      </w:r>
      <w:r w:rsidR="00BF203C" w:rsidRPr="00BF203C">
        <w:rPr>
          <w:spacing w:val="0"/>
        </w:rPr>
        <w:t>semestre</w:t>
      </w:r>
      <w:r w:rsidRPr="00BF203C">
        <w:rPr>
          <w:spacing w:val="0"/>
        </w:rPr>
        <w:t xml:space="preserve"> 2015. Pour les métiers cœurs, le résultat avant impôt ressort à </w:t>
      </w:r>
      <w:r w:rsidR="00BF203C" w:rsidRPr="00BF203C">
        <w:rPr>
          <w:spacing w:val="0"/>
        </w:rPr>
        <w:t>3 470</w:t>
      </w:r>
      <w:r w:rsidRPr="00BF203C">
        <w:rPr>
          <w:spacing w:val="0"/>
        </w:rPr>
        <w:t xml:space="preserve"> millions d’euros, en hausse de </w:t>
      </w:r>
      <w:r w:rsidR="00BF203C" w:rsidRPr="00BF203C">
        <w:rPr>
          <w:spacing w:val="0"/>
        </w:rPr>
        <w:t>16,9</w:t>
      </w:r>
      <w:r w:rsidRPr="00BF203C">
        <w:rPr>
          <w:spacing w:val="0"/>
        </w:rPr>
        <w:t xml:space="preserve"> % par rapport au premier </w:t>
      </w:r>
      <w:r w:rsidR="00BF203C" w:rsidRPr="00BF203C">
        <w:rPr>
          <w:spacing w:val="0"/>
        </w:rPr>
        <w:t>semestre</w:t>
      </w:r>
      <w:r w:rsidRPr="00BF203C">
        <w:rPr>
          <w:spacing w:val="0"/>
        </w:rPr>
        <w:t xml:space="preserve"> 2014.</w:t>
      </w:r>
    </w:p>
    <w:p w:rsidR="00AB7CB3" w:rsidRPr="00FD1FEC" w:rsidRDefault="00AB7CB3" w:rsidP="00AB7CB3">
      <w:pPr>
        <w:pStyle w:val="2-TEXTECOURANTcommuniqu"/>
        <w:rPr>
          <w:color w:val="FF0000"/>
          <w:spacing w:val="0"/>
        </w:rPr>
      </w:pPr>
    </w:p>
    <w:p w:rsidR="00AB7CB3" w:rsidRPr="00FD1FEC" w:rsidRDefault="00AB7CB3" w:rsidP="00AB7CB3">
      <w:pPr>
        <w:pStyle w:val="2-TEXTECOURANTcommuniqu"/>
        <w:rPr>
          <w:color w:val="FF0000"/>
          <w:spacing w:val="0"/>
        </w:rPr>
      </w:pPr>
      <w:r w:rsidRPr="00976D0F">
        <w:rPr>
          <w:spacing w:val="0"/>
        </w:rPr>
        <w:t>Retraité de l’impact de la norme IFRIC 21 et des éléments exceptionnels</w:t>
      </w:r>
      <w:r w:rsidR="003E4FF7">
        <w:rPr>
          <w:spacing w:val="0"/>
        </w:rPr>
        <w:t xml:space="preserve"> et non économiques</w:t>
      </w:r>
      <w:r w:rsidRPr="00976D0F">
        <w:rPr>
          <w:spacing w:val="0"/>
        </w:rPr>
        <w:t>,</w:t>
      </w:r>
      <w:r w:rsidR="00976D0F" w:rsidRPr="00976D0F">
        <w:rPr>
          <w:spacing w:val="0"/>
        </w:rPr>
        <w:t xml:space="preserve"> </w:t>
      </w:r>
      <w:r w:rsidRPr="00976D0F">
        <w:rPr>
          <w:b/>
          <w:spacing w:val="0"/>
        </w:rPr>
        <w:t>le résultat net part du groupe</w:t>
      </w:r>
      <w:r w:rsidRPr="00976D0F">
        <w:rPr>
          <w:spacing w:val="0"/>
        </w:rPr>
        <w:t xml:space="preserve"> croît de </w:t>
      </w:r>
      <w:r w:rsidR="00976D0F" w:rsidRPr="00976D0F">
        <w:rPr>
          <w:spacing w:val="0"/>
        </w:rPr>
        <w:t>9,7</w:t>
      </w:r>
      <w:r w:rsidRPr="00976D0F">
        <w:rPr>
          <w:spacing w:val="0"/>
        </w:rPr>
        <w:t xml:space="preserve"> % et s’établit à 1 </w:t>
      </w:r>
      <w:r w:rsidR="00976D0F" w:rsidRPr="00976D0F">
        <w:rPr>
          <w:spacing w:val="0"/>
        </w:rPr>
        <w:t>850</w:t>
      </w:r>
      <w:r w:rsidRPr="00976D0F">
        <w:rPr>
          <w:spacing w:val="0"/>
        </w:rPr>
        <w:t xml:space="preserve"> millions d’euros. </w:t>
      </w:r>
      <w:r w:rsidR="001D3253">
        <w:rPr>
          <w:spacing w:val="0"/>
        </w:rPr>
        <w:t xml:space="preserve">Celui des métiers cœurs augmente de 14,1 % à 2 037 millions d’euros. </w:t>
      </w:r>
      <w:r w:rsidRPr="00976D0F">
        <w:rPr>
          <w:spacing w:val="0"/>
        </w:rPr>
        <w:t xml:space="preserve">Le </w:t>
      </w:r>
      <w:r w:rsidRPr="00976D0F">
        <w:rPr>
          <w:rStyle w:val="lev"/>
          <w:spacing w:val="0"/>
        </w:rPr>
        <w:t>coefficient d’exploitation</w:t>
      </w:r>
      <w:r w:rsidRPr="00976D0F">
        <w:rPr>
          <w:spacing w:val="0"/>
        </w:rPr>
        <w:t xml:space="preserve"> s’améliore de </w:t>
      </w:r>
      <w:r w:rsidR="00976D0F" w:rsidRPr="00976D0F">
        <w:rPr>
          <w:spacing w:val="0"/>
        </w:rPr>
        <w:t>2</w:t>
      </w:r>
      <w:r w:rsidRPr="00976D0F">
        <w:rPr>
          <w:spacing w:val="0"/>
        </w:rPr>
        <w:t>,</w:t>
      </w:r>
      <w:r w:rsidR="00976D0F" w:rsidRPr="00976D0F">
        <w:rPr>
          <w:spacing w:val="0"/>
        </w:rPr>
        <w:t>2</w:t>
      </w:r>
      <w:r w:rsidRPr="00976D0F">
        <w:rPr>
          <w:spacing w:val="0"/>
        </w:rPr>
        <w:t xml:space="preserve"> points</w:t>
      </w:r>
      <w:r w:rsidR="00A43361">
        <w:rPr>
          <w:spacing w:val="0"/>
        </w:rPr>
        <w:t xml:space="preserve"> et s’établit à</w:t>
      </w:r>
      <w:r w:rsidRPr="00976D0F">
        <w:rPr>
          <w:spacing w:val="0"/>
        </w:rPr>
        <w:t xml:space="preserve"> 6</w:t>
      </w:r>
      <w:r w:rsidR="00976D0F" w:rsidRPr="00976D0F">
        <w:rPr>
          <w:spacing w:val="0"/>
        </w:rPr>
        <w:t>5</w:t>
      </w:r>
      <w:r w:rsidRPr="00976D0F">
        <w:rPr>
          <w:spacing w:val="0"/>
        </w:rPr>
        <w:t>,</w:t>
      </w:r>
      <w:r w:rsidR="00976D0F" w:rsidRPr="00976D0F">
        <w:rPr>
          <w:spacing w:val="0"/>
        </w:rPr>
        <w:t>6</w:t>
      </w:r>
      <w:r w:rsidRPr="00976D0F">
        <w:rPr>
          <w:spacing w:val="0"/>
        </w:rPr>
        <w:t xml:space="preserve"> % pour le </w:t>
      </w:r>
      <w:r w:rsidRPr="00BC6054">
        <w:rPr>
          <w:spacing w:val="0"/>
        </w:rPr>
        <w:t>groupe. Il est de 6</w:t>
      </w:r>
      <w:r w:rsidR="00976D0F" w:rsidRPr="00BC6054">
        <w:rPr>
          <w:spacing w:val="0"/>
        </w:rPr>
        <w:t>3</w:t>
      </w:r>
      <w:r w:rsidRPr="00BC6054">
        <w:rPr>
          <w:spacing w:val="0"/>
        </w:rPr>
        <w:t>,</w:t>
      </w:r>
      <w:r w:rsidR="00976D0F" w:rsidRPr="00BC6054">
        <w:rPr>
          <w:spacing w:val="0"/>
        </w:rPr>
        <w:t>2</w:t>
      </w:r>
      <w:r w:rsidRPr="00BC6054">
        <w:rPr>
          <w:spacing w:val="0"/>
        </w:rPr>
        <w:t xml:space="preserve"> % pour les métiers cœurs, en baisse de </w:t>
      </w:r>
      <w:r w:rsidR="00976D0F" w:rsidRPr="00BC6054">
        <w:rPr>
          <w:spacing w:val="0"/>
        </w:rPr>
        <w:t>1,9</w:t>
      </w:r>
      <w:r w:rsidR="0003184A">
        <w:rPr>
          <w:spacing w:val="0"/>
        </w:rPr>
        <w:t> </w:t>
      </w:r>
      <w:r w:rsidRPr="00BC6054">
        <w:rPr>
          <w:spacing w:val="0"/>
        </w:rPr>
        <w:t xml:space="preserve">point par rapport au premier </w:t>
      </w:r>
      <w:r w:rsidR="00976D0F" w:rsidRPr="00BC6054">
        <w:rPr>
          <w:spacing w:val="0"/>
        </w:rPr>
        <w:t>semestre</w:t>
      </w:r>
      <w:r w:rsidRPr="00BC6054">
        <w:rPr>
          <w:spacing w:val="0"/>
        </w:rPr>
        <w:t xml:space="preserve"> 2014. Le </w:t>
      </w:r>
      <w:r w:rsidRPr="00BC6054">
        <w:rPr>
          <w:rStyle w:val="lev"/>
          <w:spacing w:val="0"/>
        </w:rPr>
        <w:t>ROE</w:t>
      </w:r>
      <w:r w:rsidR="00BC6054" w:rsidRPr="00BC6054">
        <w:rPr>
          <w:spacing w:val="0"/>
        </w:rPr>
        <w:t xml:space="preserve"> du groupe </w:t>
      </w:r>
      <w:r w:rsidR="00BC6054" w:rsidRPr="00BC6054">
        <w:rPr>
          <w:spacing w:val="0"/>
        </w:rPr>
        <w:lastRenderedPageBreak/>
        <w:t>ressort à 6</w:t>
      </w:r>
      <w:r w:rsidRPr="00BC6054">
        <w:rPr>
          <w:spacing w:val="0"/>
        </w:rPr>
        <w:t>,</w:t>
      </w:r>
      <w:r w:rsidR="00BC6054" w:rsidRPr="00BC6054">
        <w:rPr>
          <w:spacing w:val="0"/>
        </w:rPr>
        <w:t>8</w:t>
      </w:r>
      <w:r w:rsidRPr="00BC6054">
        <w:rPr>
          <w:spacing w:val="0"/>
        </w:rPr>
        <w:t> %, en hausse de 0,</w:t>
      </w:r>
      <w:r w:rsidR="00BC6054" w:rsidRPr="00BC6054">
        <w:rPr>
          <w:spacing w:val="0"/>
        </w:rPr>
        <w:t>3</w:t>
      </w:r>
      <w:r w:rsidRPr="00BC6054">
        <w:rPr>
          <w:spacing w:val="0"/>
        </w:rPr>
        <w:t xml:space="preserve"> point. Il est de 11 % pour les mé</w:t>
      </w:r>
      <w:r w:rsidR="00BC6054" w:rsidRPr="00BC6054">
        <w:rPr>
          <w:spacing w:val="0"/>
        </w:rPr>
        <w:t>tiers cœurs, en augmentation de deux points par rapport au premier se</w:t>
      </w:r>
      <w:r w:rsidRPr="00BC6054">
        <w:rPr>
          <w:spacing w:val="0"/>
        </w:rPr>
        <w:t xml:space="preserve">mestre 2014. </w:t>
      </w:r>
    </w:p>
    <w:p w:rsidR="00AB7CB3" w:rsidRPr="00FD1FEC" w:rsidRDefault="00AB7CB3" w:rsidP="000F6741">
      <w:pPr>
        <w:pStyle w:val="2-TEXTECOURANTcommuniqu"/>
        <w:rPr>
          <w:color w:val="FF0000"/>
          <w:spacing w:val="0"/>
        </w:rPr>
      </w:pPr>
    </w:p>
    <w:p w:rsidR="00AB7CB3" w:rsidRPr="00E6401E" w:rsidRDefault="00AB7CB3" w:rsidP="000F6741">
      <w:pPr>
        <w:rPr>
          <w:sz w:val="20"/>
          <w:szCs w:val="20"/>
        </w:rPr>
      </w:pPr>
      <w:r w:rsidRPr="00E6401E">
        <w:rPr>
          <w:sz w:val="20"/>
          <w:szCs w:val="20"/>
        </w:rPr>
        <w:t xml:space="preserve">Après prise en compte d’éléments </w:t>
      </w:r>
      <w:r w:rsidR="009C3023">
        <w:rPr>
          <w:sz w:val="20"/>
          <w:szCs w:val="20"/>
        </w:rPr>
        <w:t xml:space="preserve">non économiques et </w:t>
      </w:r>
      <w:r w:rsidRPr="00E6401E">
        <w:rPr>
          <w:sz w:val="20"/>
          <w:szCs w:val="20"/>
        </w:rPr>
        <w:t>exceptionnels</w:t>
      </w:r>
      <w:r w:rsidR="00F42C85">
        <w:rPr>
          <w:sz w:val="20"/>
          <w:szCs w:val="20"/>
        </w:rPr>
        <w:t>,</w:t>
      </w:r>
      <w:r w:rsidRPr="00E6401E">
        <w:rPr>
          <w:sz w:val="20"/>
          <w:szCs w:val="20"/>
        </w:rPr>
        <w:t xml:space="preserve"> et de l’impact de l’IFRIC</w:t>
      </w:r>
      <w:r w:rsidR="00257F53">
        <w:rPr>
          <w:sz w:val="20"/>
          <w:szCs w:val="20"/>
        </w:rPr>
        <w:t> </w:t>
      </w:r>
      <w:r w:rsidRPr="00E6401E">
        <w:rPr>
          <w:sz w:val="20"/>
          <w:szCs w:val="20"/>
        </w:rPr>
        <w:t>21,</w:t>
      </w:r>
      <w:r w:rsidRPr="00E6401E">
        <w:rPr>
          <w:b/>
          <w:sz w:val="20"/>
          <w:szCs w:val="20"/>
        </w:rPr>
        <w:t xml:space="preserve"> </w:t>
      </w:r>
      <w:r w:rsidRPr="00E6401E">
        <w:rPr>
          <w:sz w:val="20"/>
          <w:szCs w:val="20"/>
        </w:rPr>
        <w:t xml:space="preserve">le </w:t>
      </w:r>
      <w:r w:rsidRPr="00E6401E">
        <w:rPr>
          <w:b/>
          <w:sz w:val="20"/>
          <w:szCs w:val="20"/>
        </w:rPr>
        <w:t>résultat net publié</w:t>
      </w:r>
      <w:r w:rsidRPr="00E6401E">
        <w:rPr>
          <w:sz w:val="20"/>
          <w:szCs w:val="20"/>
        </w:rPr>
        <w:t xml:space="preserve"> affiche une </w:t>
      </w:r>
      <w:r w:rsidR="009911FC" w:rsidRPr="00E6401E">
        <w:rPr>
          <w:sz w:val="20"/>
          <w:szCs w:val="20"/>
        </w:rPr>
        <w:t xml:space="preserve">hausse </w:t>
      </w:r>
      <w:r w:rsidRPr="00E6401E">
        <w:rPr>
          <w:sz w:val="20"/>
          <w:szCs w:val="20"/>
        </w:rPr>
        <w:t xml:space="preserve">de </w:t>
      </w:r>
      <w:r w:rsidR="009911FC" w:rsidRPr="00E6401E">
        <w:rPr>
          <w:sz w:val="20"/>
          <w:szCs w:val="20"/>
        </w:rPr>
        <w:t>6</w:t>
      </w:r>
      <w:r w:rsidRPr="00E6401E">
        <w:rPr>
          <w:sz w:val="20"/>
          <w:szCs w:val="20"/>
        </w:rPr>
        <w:t>,</w:t>
      </w:r>
      <w:r w:rsidR="009911FC" w:rsidRPr="00E6401E">
        <w:rPr>
          <w:sz w:val="20"/>
          <w:szCs w:val="20"/>
        </w:rPr>
        <w:t>4</w:t>
      </w:r>
      <w:r w:rsidRPr="00E6401E">
        <w:rPr>
          <w:sz w:val="20"/>
          <w:szCs w:val="20"/>
        </w:rPr>
        <w:t xml:space="preserve"> % </w:t>
      </w:r>
      <w:r w:rsidR="00440E12">
        <w:rPr>
          <w:sz w:val="20"/>
          <w:szCs w:val="20"/>
        </w:rPr>
        <w:t>sur un an</w:t>
      </w:r>
      <w:r w:rsidR="00E6401E" w:rsidRPr="00E6401E">
        <w:rPr>
          <w:sz w:val="20"/>
          <w:szCs w:val="20"/>
        </w:rPr>
        <w:t>, à 1 </w:t>
      </w:r>
      <w:r w:rsidRPr="00E6401E">
        <w:rPr>
          <w:sz w:val="20"/>
          <w:szCs w:val="20"/>
        </w:rPr>
        <w:t>6</w:t>
      </w:r>
      <w:r w:rsidR="00E6401E" w:rsidRPr="00E6401E">
        <w:rPr>
          <w:sz w:val="20"/>
          <w:szCs w:val="20"/>
        </w:rPr>
        <w:t>79</w:t>
      </w:r>
      <w:r w:rsidRPr="00E6401E">
        <w:rPr>
          <w:sz w:val="20"/>
          <w:szCs w:val="20"/>
        </w:rPr>
        <w:t xml:space="preserve"> millions</w:t>
      </w:r>
      <w:r w:rsidR="0003184A">
        <w:rPr>
          <w:sz w:val="20"/>
          <w:szCs w:val="20"/>
        </w:rPr>
        <w:t xml:space="preserve"> </w:t>
      </w:r>
      <w:r w:rsidRPr="00E6401E">
        <w:rPr>
          <w:sz w:val="20"/>
          <w:szCs w:val="20"/>
        </w:rPr>
        <w:t>d’euros. Celui d</w:t>
      </w:r>
      <w:r w:rsidRPr="00E6401E">
        <w:rPr>
          <w:rStyle w:val="lev"/>
          <w:b w:val="0"/>
          <w:sz w:val="20"/>
          <w:szCs w:val="20"/>
        </w:rPr>
        <w:t>es métiers cœurs</w:t>
      </w:r>
      <w:r w:rsidRPr="00E6401E">
        <w:rPr>
          <w:sz w:val="20"/>
          <w:szCs w:val="20"/>
        </w:rPr>
        <w:t xml:space="preserve"> progresse de 1</w:t>
      </w:r>
      <w:r w:rsidR="00E6401E" w:rsidRPr="00E6401E">
        <w:rPr>
          <w:sz w:val="20"/>
          <w:szCs w:val="20"/>
        </w:rPr>
        <w:t>5</w:t>
      </w:r>
      <w:r w:rsidRPr="00E6401E">
        <w:rPr>
          <w:sz w:val="20"/>
          <w:szCs w:val="20"/>
        </w:rPr>
        <w:t xml:space="preserve">,8 % et atteint </w:t>
      </w:r>
      <w:r w:rsidR="00E6401E" w:rsidRPr="00E6401E">
        <w:rPr>
          <w:sz w:val="20"/>
          <w:szCs w:val="20"/>
        </w:rPr>
        <w:t>1</w:t>
      </w:r>
      <w:r w:rsidR="000F6741">
        <w:rPr>
          <w:sz w:val="20"/>
          <w:szCs w:val="20"/>
        </w:rPr>
        <w:t> </w:t>
      </w:r>
      <w:r w:rsidR="00E6401E" w:rsidRPr="00E6401E">
        <w:rPr>
          <w:sz w:val="20"/>
          <w:szCs w:val="20"/>
        </w:rPr>
        <w:t>953</w:t>
      </w:r>
      <w:r w:rsidR="000F6741">
        <w:rPr>
          <w:sz w:val="20"/>
          <w:szCs w:val="20"/>
        </w:rPr>
        <w:t> </w:t>
      </w:r>
      <w:r w:rsidRPr="00E6401E">
        <w:rPr>
          <w:sz w:val="20"/>
          <w:szCs w:val="20"/>
        </w:rPr>
        <w:t xml:space="preserve">millions d’euros pour le premier </w:t>
      </w:r>
      <w:r w:rsidR="00E6401E" w:rsidRPr="00E6401E">
        <w:rPr>
          <w:sz w:val="20"/>
          <w:szCs w:val="20"/>
        </w:rPr>
        <w:t>semestre</w:t>
      </w:r>
      <w:r w:rsidRPr="00E6401E">
        <w:rPr>
          <w:sz w:val="20"/>
          <w:szCs w:val="20"/>
        </w:rPr>
        <w:t xml:space="preserve"> 2015.</w:t>
      </w:r>
    </w:p>
    <w:p w:rsidR="00AB7CB3" w:rsidRPr="000751CA" w:rsidRDefault="00AB7CB3">
      <w:pPr>
        <w:jc w:val="left"/>
        <w:rPr>
          <w:b/>
          <w:color w:val="581D74"/>
          <w:spacing w:val="-4"/>
          <w:sz w:val="20"/>
          <w:szCs w:val="20"/>
        </w:rPr>
      </w:pPr>
      <w:r w:rsidRPr="000751CA">
        <w:rPr>
          <w:sz w:val="20"/>
          <w:szCs w:val="20"/>
        </w:rPr>
        <w:br w:type="page"/>
      </w:r>
    </w:p>
    <w:p w:rsidR="00421480" w:rsidRDefault="00421480" w:rsidP="00421480">
      <w:pPr>
        <w:pStyle w:val="3-Titre1"/>
        <w:pBdr>
          <w:bottom w:val="none" w:sz="0" w:space="0" w:color="auto"/>
        </w:pBdr>
      </w:pPr>
      <w:r w:rsidRPr="0069247C">
        <w:lastRenderedPageBreak/>
        <w:t xml:space="preserve">RÉSULTATS CONSOLIDÉS </w:t>
      </w:r>
      <w:r w:rsidR="006A24E6">
        <w:t>DU DEUXI</w:t>
      </w:r>
      <w:r w:rsidR="006A24E6" w:rsidRPr="006A24E6">
        <w:t>È</w:t>
      </w:r>
      <w:r>
        <w:t>ME TRIMESTRE 2015</w:t>
      </w:r>
      <w:r w:rsidRPr="0069247C">
        <w:t xml:space="preserve"> DU GROUPE BPCE </w:t>
      </w:r>
    </w:p>
    <w:tbl>
      <w:tblPr>
        <w:tblStyle w:val="Grilledutableau"/>
        <w:tblW w:w="969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39"/>
        <w:gridCol w:w="1361"/>
        <w:gridCol w:w="1361"/>
        <w:gridCol w:w="113"/>
        <w:gridCol w:w="1361"/>
        <w:gridCol w:w="1361"/>
      </w:tblGrid>
      <w:tr w:rsidR="00421480" w:rsidRPr="00A80C42" w:rsidTr="009F0686">
        <w:trPr>
          <w:trHeight w:val="907"/>
        </w:trPr>
        <w:tc>
          <w:tcPr>
            <w:tcW w:w="4139" w:type="dxa"/>
            <w:tcBorders>
              <w:bottom w:val="single" w:sz="24" w:space="0" w:color="A778AE" w:themeColor="accent2"/>
            </w:tcBorders>
            <w:vAlign w:val="center"/>
          </w:tcPr>
          <w:p w:rsidR="00421480" w:rsidRPr="009446BF" w:rsidRDefault="00CE4129" w:rsidP="009F0686">
            <w:pPr>
              <w:tabs>
                <w:tab w:val="left" w:pos="336"/>
              </w:tabs>
              <w:spacing w:line="240" w:lineRule="auto"/>
              <w:ind w:left="113" w:right="113"/>
              <w:jc w:val="left"/>
              <w:rPr>
                <w:spacing w:val="-2"/>
                <w:sz w:val="18"/>
                <w:szCs w:val="18"/>
              </w:rPr>
            </w:pPr>
            <w:r>
              <w:rPr>
                <w:color w:val="581D74" w:themeColor="accent1"/>
                <w:spacing w:val="-2"/>
                <w:sz w:val="16"/>
                <w:szCs w:val="18"/>
              </w:rPr>
              <w:t>E</w:t>
            </w:r>
            <w:r w:rsidR="00421480">
              <w:rPr>
                <w:color w:val="581D74" w:themeColor="accent1"/>
                <w:spacing w:val="-2"/>
                <w:sz w:val="16"/>
                <w:szCs w:val="18"/>
              </w:rPr>
              <w:t>n millions d’euros</w:t>
            </w:r>
          </w:p>
        </w:tc>
        <w:tc>
          <w:tcPr>
            <w:tcW w:w="1361" w:type="dxa"/>
            <w:tcBorders>
              <w:top w:val="single" w:sz="12" w:space="0" w:color="A778AE" w:themeColor="accent2"/>
              <w:bottom w:val="single" w:sz="24" w:space="0" w:color="A778AE" w:themeColor="accent2"/>
            </w:tcBorders>
            <w:shd w:val="clear" w:color="auto" w:fill="D9D9D9" w:themeFill="background1" w:themeFillShade="D9"/>
            <w:vAlign w:val="center"/>
          </w:tcPr>
          <w:p w:rsidR="00421480" w:rsidRPr="009446BF" w:rsidRDefault="00421480" w:rsidP="009F0686">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T2-15</w:t>
            </w:r>
          </w:p>
        </w:tc>
        <w:tc>
          <w:tcPr>
            <w:tcW w:w="1361" w:type="dxa"/>
            <w:tcBorders>
              <w:top w:val="single" w:sz="12" w:space="0" w:color="A778AE" w:themeColor="accent2"/>
              <w:bottom w:val="single" w:sz="24" w:space="0" w:color="A778AE" w:themeColor="accent2"/>
            </w:tcBorders>
            <w:vAlign w:val="center"/>
          </w:tcPr>
          <w:p w:rsidR="00421480" w:rsidRDefault="00421480" w:rsidP="009F0686">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T2-15</w:t>
            </w:r>
            <w:r w:rsidRPr="009446BF">
              <w:rPr>
                <w:b/>
                <w:color w:val="581D74" w:themeColor="accent1"/>
                <w:spacing w:val="-2"/>
                <w:sz w:val="18"/>
                <w:szCs w:val="18"/>
              </w:rPr>
              <w:t xml:space="preserve"> /</w:t>
            </w:r>
          </w:p>
          <w:p w:rsidR="00421480" w:rsidRPr="009446BF" w:rsidRDefault="00421480" w:rsidP="009F0686">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 xml:space="preserve">T2-14 </w:t>
            </w:r>
            <w:r w:rsidRPr="009446BF">
              <w:rPr>
                <w:b/>
                <w:color w:val="581D74" w:themeColor="accent1"/>
                <w:spacing w:val="-2"/>
                <w:sz w:val="18"/>
                <w:szCs w:val="18"/>
                <w:vertAlign w:val="superscript"/>
              </w:rPr>
              <w:t>*</w:t>
            </w:r>
          </w:p>
          <w:p w:rsidR="00421480" w:rsidRPr="009446BF" w:rsidRDefault="00421480" w:rsidP="009F0686">
            <w:pPr>
              <w:tabs>
                <w:tab w:val="left" w:pos="336"/>
              </w:tabs>
              <w:spacing w:line="240" w:lineRule="auto"/>
              <w:ind w:right="113"/>
              <w:jc w:val="right"/>
              <w:rPr>
                <w:spacing w:val="-2"/>
                <w:sz w:val="18"/>
                <w:szCs w:val="18"/>
              </w:rPr>
            </w:pPr>
            <w:r w:rsidRPr="009446BF">
              <w:rPr>
                <w:color w:val="581D74" w:themeColor="accent1"/>
                <w:spacing w:val="-2"/>
                <w:sz w:val="16"/>
                <w:szCs w:val="18"/>
              </w:rPr>
              <w:t>variation %</w:t>
            </w:r>
          </w:p>
        </w:tc>
        <w:tc>
          <w:tcPr>
            <w:tcW w:w="113" w:type="dxa"/>
          </w:tcPr>
          <w:p w:rsidR="00421480" w:rsidRPr="009446BF" w:rsidRDefault="00421480" w:rsidP="009F0686">
            <w:pPr>
              <w:tabs>
                <w:tab w:val="left" w:pos="336"/>
              </w:tabs>
              <w:spacing w:line="240" w:lineRule="auto"/>
              <w:rPr>
                <w:spacing w:val="-2"/>
                <w:sz w:val="18"/>
                <w:szCs w:val="18"/>
              </w:rPr>
            </w:pPr>
          </w:p>
        </w:tc>
        <w:tc>
          <w:tcPr>
            <w:tcW w:w="1361" w:type="dxa"/>
            <w:tcBorders>
              <w:top w:val="single" w:sz="12" w:space="0" w:color="A778AE" w:themeColor="accent2"/>
              <w:bottom w:val="single" w:sz="24" w:space="0" w:color="A778AE" w:themeColor="accent2"/>
            </w:tcBorders>
            <w:shd w:val="clear" w:color="auto" w:fill="D9D9D9" w:themeFill="background1" w:themeFillShade="D9"/>
            <w:vAlign w:val="center"/>
          </w:tcPr>
          <w:p w:rsidR="00421480" w:rsidRDefault="00421480" w:rsidP="009F0686">
            <w:pPr>
              <w:tabs>
                <w:tab w:val="left" w:pos="336"/>
              </w:tabs>
              <w:spacing w:line="240" w:lineRule="auto"/>
              <w:ind w:right="113"/>
              <w:jc w:val="right"/>
              <w:rPr>
                <w:b/>
                <w:color w:val="581D74" w:themeColor="accent1"/>
                <w:spacing w:val="-2"/>
                <w:sz w:val="18"/>
                <w:szCs w:val="18"/>
              </w:rPr>
            </w:pPr>
            <w:r w:rsidRPr="009446BF">
              <w:rPr>
                <w:b/>
                <w:color w:val="581D74" w:themeColor="accent1"/>
                <w:spacing w:val="-2"/>
                <w:sz w:val="18"/>
                <w:szCs w:val="18"/>
              </w:rPr>
              <w:t>Métiers cœurs</w:t>
            </w:r>
            <w:r w:rsidRPr="009446BF">
              <w:rPr>
                <w:b/>
                <w:color w:val="581D74" w:themeColor="accent1"/>
                <w:spacing w:val="-2"/>
                <w:sz w:val="18"/>
                <w:szCs w:val="18"/>
                <w:vertAlign w:val="superscript"/>
              </w:rPr>
              <w:t>*</w:t>
            </w:r>
            <w:r>
              <w:rPr>
                <w:b/>
                <w:color w:val="581D74" w:themeColor="accent1"/>
                <w:spacing w:val="-2"/>
                <w:sz w:val="18"/>
                <w:szCs w:val="18"/>
                <w:vertAlign w:val="superscript"/>
              </w:rPr>
              <w:t>*</w:t>
            </w:r>
            <w:r w:rsidRPr="009446BF">
              <w:rPr>
                <w:b/>
                <w:color w:val="581D74" w:themeColor="accent1"/>
                <w:spacing w:val="-2"/>
                <w:sz w:val="18"/>
                <w:szCs w:val="18"/>
              </w:rPr>
              <w:t xml:space="preserve"> </w:t>
            </w:r>
          </w:p>
          <w:p w:rsidR="00421480" w:rsidRPr="009446BF" w:rsidRDefault="00421480" w:rsidP="009F0686">
            <w:pPr>
              <w:tabs>
                <w:tab w:val="left" w:pos="336"/>
              </w:tabs>
              <w:spacing w:line="240" w:lineRule="auto"/>
              <w:ind w:right="113"/>
              <w:jc w:val="right"/>
              <w:rPr>
                <w:spacing w:val="-2"/>
                <w:sz w:val="18"/>
                <w:szCs w:val="18"/>
              </w:rPr>
            </w:pPr>
            <w:r>
              <w:rPr>
                <w:b/>
                <w:color w:val="581D74" w:themeColor="accent1"/>
                <w:spacing w:val="-2"/>
                <w:sz w:val="18"/>
                <w:szCs w:val="18"/>
              </w:rPr>
              <w:t>T2-15</w:t>
            </w:r>
          </w:p>
        </w:tc>
        <w:tc>
          <w:tcPr>
            <w:tcW w:w="1361" w:type="dxa"/>
            <w:tcBorders>
              <w:top w:val="single" w:sz="12" w:space="0" w:color="A778AE" w:themeColor="accent2"/>
              <w:bottom w:val="single" w:sz="24" w:space="0" w:color="A778AE" w:themeColor="accent2"/>
            </w:tcBorders>
            <w:vAlign w:val="center"/>
          </w:tcPr>
          <w:p w:rsidR="00421480" w:rsidRDefault="00421480" w:rsidP="009F0686">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T2-15</w:t>
            </w:r>
            <w:r w:rsidRPr="009446BF">
              <w:rPr>
                <w:b/>
                <w:color w:val="581D74" w:themeColor="accent1"/>
                <w:spacing w:val="-2"/>
                <w:sz w:val="18"/>
                <w:szCs w:val="18"/>
              </w:rPr>
              <w:t xml:space="preserve"> / </w:t>
            </w:r>
          </w:p>
          <w:p w:rsidR="00421480" w:rsidRPr="009446BF" w:rsidRDefault="00421480" w:rsidP="009F0686">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T2-14</w:t>
            </w:r>
            <w:r w:rsidRPr="009446BF">
              <w:rPr>
                <w:b/>
                <w:color w:val="581D74" w:themeColor="accent1"/>
                <w:spacing w:val="-2"/>
                <w:sz w:val="18"/>
                <w:szCs w:val="18"/>
                <w:vertAlign w:val="superscript"/>
              </w:rPr>
              <w:t>*</w:t>
            </w:r>
          </w:p>
          <w:p w:rsidR="00421480" w:rsidRPr="009446BF" w:rsidRDefault="00421480" w:rsidP="009F0686">
            <w:pPr>
              <w:tabs>
                <w:tab w:val="left" w:pos="336"/>
              </w:tabs>
              <w:spacing w:line="240" w:lineRule="auto"/>
              <w:ind w:right="113"/>
              <w:jc w:val="right"/>
              <w:rPr>
                <w:spacing w:val="-2"/>
                <w:sz w:val="18"/>
                <w:szCs w:val="18"/>
              </w:rPr>
            </w:pPr>
            <w:r w:rsidRPr="009446BF">
              <w:rPr>
                <w:color w:val="581D74" w:themeColor="accent1"/>
                <w:spacing w:val="-2"/>
                <w:sz w:val="16"/>
                <w:szCs w:val="18"/>
              </w:rPr>
              <w:t>variation %</w:t>
            </w:r>
          </w:p>
        </w:tc>
      </w:tr>
      <w:tr w:rsidR="00421480" w:rsidRPr="00A80C42" w:rsidTr="009F0686">
        <w:trPr>
          <w:trHeight w:val="340"/>
        </w:trPr>
        <w:tc>
          <w:tcPr>
            <w:tcW w:w="4139" w:type="dxa"/>
            <w:tcBorders>
              <w:top w:val="single" w:sz="24" w:space="0" w:color="A778AE" w:themeColor="accent2"/>
            </w:tcBorders>
            <w:vAlign w:val="center"/>
          </w:tcPr>
          <w:p w:rsidR="00421480" w:rsidRPr="009446BF" w:rsidRDefault="00421480" w:rsidP="009F0686">
            <w:pPr>
              <w:tabs>
                <w:tab w:val="left" w:pos="336"/>
              </w:tabs>
              <w:spacing w:line="240" w:lineRule="auto"/>
              <w:ind w:left="113" w:right="113"/>
              <w:jc w:val="left"/>
              <w:rPr>
                <w:spacing w:val="-2"/>
                <w:sz w:val="18"/>
                <w:szCs w:val="18"/>
              </w:rPr>
            </w:pPr>
            <w:r>
              <w:rPr>
                <w:spacing w:val="-2"/>
                <w:sz w:val="18"/>
                <w:szCs w:val="18"/>
              </w:rPr>
              <w:t xml:space="preserve">Produit net bancaire </w:t>
            </w:r>
            <w:r w:rsidR="00CE4129" w:rsidRPr="0000413E">
              <w:rPr>
                <w:spacing w:val="-2"/>
                <w:sz w:val="18"/>
                <w:szCs w:val="18"/>
                <w:vertAlign w:val="superscript"/>
              </w:rPr>
              <w:t>***</w:t>
            </w:r>
          </w:p>
        </w:tc>
        <w:tc>
          <w:tcPr>
            <w:tcW w:w="1361" w:type="dxa"/>
            <w:tcBorders>
              <w:top w:val="single" w:sz="24" w:space="0" w:color="A778AE" w:themeColor="accent2"/>
            </w:tcBorders>
            <w:shd w:val="clear" w:color="auto" w:fill="D9D9D9" w:themeFill="background1" w:themeFillShade="D9"/>
            <w:vAlign w:val="center"/>
          </w:tcPr>
          <w:p w:rsidR="00421480" w:rsidRPr="00331AE2" w:rsidRDefault="00421480" w:rsidP="009F0686">
            <w:pPr>
              <w:tabs>
                <w:tab w:val="left" w:pos="336"/>
              </w:tabs>
              <w:spacing w:line="240" w:lineRule="auto"/>
              <w:ind w:right="113"/>
              <w:jc w:val="right"/>
              <w:rPr>
                <w:color w:val="581D74" w:themeColor="accent1"/>
                <w:spacing w:val="-2"/>
                <w:sz w:val="18"/>
                <w:szCs w:val="18"/>
              </w:rPr>
            </w:pPr>
            <w:r w:rsidRPr="00331AE2">
              <w:rPr>
                <w:color w:val="581D74" w:themeColor="accent1"/>
                <w:spacing w:val="-2"/>
                <w:sz w:val="18"/>
                <w:szCs w:val="18"/>
              </w:rPr>
              <w:t>5 939</w:t>
            </w:r>
          </w:p>
        </w:tc>
        <w:tc>
          <w:tcPr>
            <w:tcW w:w="1361" w:type="dxa"/>
            <w:tcBorders>
              <w:top w:val="single" w:sz="24" w:space="0" w:color="A778AE" w:themeColor="accent2"/>
            </w:tcBorders>
            <w:vAlign w:val="center"/>
          </w:tcPr>
          <w:p w:rsidR="00421480" w:rsidRPr="00331AE2" w:rsidRDefault="00421480" w:rsidP="009F0686">
            <w:pPr>
              <w:tabs>
                <w:tab w:val="left" w:pos="336"/>
              </w:tabs>
              <w:spacing w:line="240" w:lineRule="auto"/>
              <w:ind w:right="113"/>
              <w:jc w:val="right"/>
              <w:rPr>
                <w:color w:val="581D74" w:themeColor="accent1"/>
                <w:spacing w:val="-2"/>
                <w:sz w:val="18"/>
                <w:szCs w:val="18"/>
              </w:rPr>
            </w:pPr>
            <w:r w:rsidRPr="00331AE2">
              <w:rPr>
                <w:color w:val="581D74" w:themeColor="accent1"/>
                <w:spacing w:val="-2"/>
                <w:sz w:val="18"/>
                <w:szCs w:val="18"/>
              </w:rPr>
              <w:t>+ 3,5 %</w:t>
            </w:r>
          </w:p>
        </w:tc>
        <w:tc>
          <w:tcPr>
            <w:tcW w:w="113" w:type="dxa"/>
          </w:tcPr>
          <w:p w:rsidR="00421480" w:rsidRPr="00FD1FEC" w:rsidRDefault="00421480" w:rsidP="009F0686">
            <w:pPr>
              <w:tabs>
                <w:tab w:val="left" w:pos="336"/>
              </w:tabs>
              <w:spacing w:line="240" w:lineRule="auto"/>
              <w:rPr>
                <w:color w:val="FF0000"/>
                <w:spacing w:val="-2"/>
                <w:sz w:val="18"/>
                <w:szCs w:val="18"/>
              </w:rPr>
            </w:pPr>
          </w:p>
        </w:tc>
        <w:tc>
          <w:tcPr>
            <w:tcW w:w="1361" w:type="dxa"/>
            <w:tcBorders>
              <w:top w:val="single" w:sz="24" w:space="0" w:color="A778AE" w:themeColor="accent2"/>
            </w:tcBorders>
            <w:shd w:val="clear" w:color="auto" w:fill="D9D9D9" w:themeFill="background1" w:themeFillShade="D9"/>
            <w:vAlign w:val="center"/>
          </w:tcPr>
          <w:p w:rsidR="00421480" w:rsidRPr="001967DA" w:rsidRDefault="00421480" w:rsidP="009F0686">
            <w:pPr>
              <w:tabs>
                <w:tab w:val="left" w:pos="336"/>
              </w:tabs>
              <w:spacing w:line="240" w:lineRule="auto"/>
              <w:ind w:right="113"/>
              <w:jc w:val="right"/>
              <w:rPr>
                <w:color w:val="581D74" w:themeColor="accent1"/>
                <w:spacing w:val="-2"/>
                <w:sz w:val="18"/>
                <w:szCs w:val="18"/>
              </w:rPr>
            </w:pPr>
            <w:r w:rsidRPr="001967DA">
              <w:rPr>
                <w:color w:val="581D74" w:themeColor="accent1"/>
                <w:spacing w:val="-2"/>
                <w:sz w:val="18"/>
                <w:szCs w:val="18"/>
              </w:rPr>
              <w:t>5 911</w:t>
            </w:r>
          </w:p>
        </w:tc>
        <w:tc>
          <w:tcPr>
            <w:tcW w:w="1361" w:type="dxa"/>
            <w:tcBorders>
              <w:top w:val="single" w:sz="24" w:space="0" w:color="A778AE" w:themeColor="accent2"/>
            </w:tcBorders>
            <w:vAlign w:val="center"/>
          </w:tcPr>
          <w:p w:rsidR="00421480" w:rsidRPr="001967DA" w:rsidRDefault="00421480" w:rsidP="009F0686">
            <w:pPr>
              <w:tabs>
                <w:tab w:val="left" w:pos="336"/>
              </w:tabs>
              <w:spacing w:line="240" w:lineRule="auto"/>
              <w:ind w:right="113"/>
              <w:jc w:val="right"/>
              <w:rPr>
                <w:color w:val="581D74" w:themeColor="accent1"/>
                <w:spacing w:val="-2"/>
                <w:sz w:val="18"/>
                <w:szCs w:val="18"/>
              </w:rPr>
            </w:pPr>
            <w:r w:rsidRPr="001967DA">
              <w:rPr>
                <w:color w:val="581D74" w:themeColor="accent1"/>
                <w:spacing w:val="-2"/>
                <w:sz w:val="18"/>
                <w:szCs w:val="18"/>
              </w:rPr>
              <w:t>+ 6,3 %</w:t>
            </w:r>
          </w:p>
        </w:tc>
      </w:tr>
      <w:tr w:rsidR="00421480" w:rsidRPr="00A80C42" w:rsidTr="009F0686">
        <w:trPr>
          <w:trHeight w:val="340"/>
        </w:trPr>
        <w:tc>
          <w:tcPr>
            <w:tcW w:w="4139" w:type="dxa"/>
            <w:vAlign w:val="center"/>
          </w:tcPr>
          <w:p w:rsidR="00421480" w:rsidRPr="009446BF" w:rsidRDefault="00421480" w:rsidP="009F0686">
            <w:pPr>
              <w:tabs>
                <w:tab w:val="left" w:pos="336"/>
              </w:tabs>
              <w:spacing w:line="240" w:lineRule="auto"/>
              <w:ind w:left="113" w:right="113"/>
              <w:jc w:val="left"/>
              <w:rPr>
                <w:spacing w:val="-2"/>
                <w:sz w:val="18"/>
                <w:szCs w:val="18"/>
              </w:rPr>
            </w:pPr>
            <w:r>
              <w:rPr>
                <w:spacing w:val="-2"/>
                <w:sz w:val="18"/>
                <w:szCs w:val="18"/>
              </w:rPr>
              <w:t>Frais de gestion</w:t>
            </w:r>
            <w:r w:rsidR="00CE4129">
              <w:rPr>
                <w:spacing w:val="-2"/>
                <w:sz w:val="18"/>
                <w:szCs w:val="18"/>
              </w:rPr>
              <w:t xml:space="preserve"> </w:t>
            </w:r>
            <w:r w:rsidR="00CE4129" w:rsidRPr="0000413E">
              <w:rPr>
                <w:spacing w:val="-2"/>
                <w:sz w:val="18"/>
                <w:szCs w:val="18"/>
                <w:vertAlign w:val="superscript"/>
              </w:rPr>
              <w:t>***</w:t>
            </w:r>
          </w:p>
        </w:tc>
        <w:tc>
          <w:tcPr>
            <w:tcW w:w="1361" w:type="dxa"/>
            <w:shd w:val="clear" w:color="auto" w:fill="D9D9D9" w:themeFill="background1" w:themeFillShade="D9"/>
            <w:vAlign w:val="center"/>
          </w:tcPr>
          <w:p w:rsidR="00421480" w:rsidRPr="00331AE2" w:rsidRDefault="00421480" w:rsidP="009F0686">
            <w:pPr>
              <w:tabs>
                <w:tab w:val="left" w:pos="336"/>
              </w:tabs>
              <w:spacing w:line="240" w:lineRule="auto"/>
              <w:ind w:right="113"/>
              <w:jc w:val="right"/>
              <w:rPr>
                <w:color w:val="581D74" w:themeColor="accent1"/>
                <w:spacing w:val="-2"/>
                <w:sz w:val="18"/>
                <w:szCs w:val="18"/>
              </w:rPr>
            </w:pPr>
            <w:r w:rsidRPr="00331AE2">
              <w:rPr>
                <w:color w:val="581D74" w:themeColor="accent1"/>
                <w:spacing w:val="-2"/>
                <w:sz w:val="18"/>
                <w:szCs w:val="18"/>
              </w:rPr>
              <w:t>- 3 929</w:t>
            </w:r>
          </w:p>
        </w:tc>
        <w:tc>
          <w:tcPr>
            <w:tcW w:w="1361" w:type="dxa"/>
            <w:vAlign w:val="center"/>
          </w:tcPr>
          <w:p w:rsidR="00421480" w:rsidRPr="00331AE2" w:rsidRDefault="00421480" w:rsidP="009F0686">
            <w:pPr>
              <w:tabs>
                <w:tab w:val="left" w:pos="336"/>
              </w:tabs>
              <w:spacing w:line="240" w:lineRule="auto"/>
              <w:ind w:right="113"/>
              <w:jc w:val="right"/>
              <w:rPr>
                <w:color w:val="581D74" w:themeColor="accent1"/>
                <w:spacing w:val="-2"/>
                <w:sz w:val="18"/>
                <w:szCs w:val="18"/>
              </w:rPr>
            </w:pPr>
            <w:r w:rsidRPr="00331AE2">
              <w:rPr>
                <w:color w:val="581D74" w:themeColor="accent1"/>
                <w:spacing w:val="-2"/>
                <w:sz w:val="18"/>
                <w:szCs w:val="18"/>
              </w:rPr>
              <w:t>+ 2,1 %</w:t>
            </w:r>
          </w:p>
        </w:tc>
        <w:tc>
          <w:tcPr>
            <w:tcW w:w="113" w:type="dxa"/>
          </w:tcPr>
          <w:p w:rsidR="00421480" w:rsidRPr="00FD1FEC" w:rsidRDefault="00421480" w:rsidP="009F0686">
            <w:pPr>
              <w:tabs>
                <w:tab w:val="left" w:pos="336"/>
              </w:tabs>
              <w:spacing w:line="240" w:lineRule="auto"/>
              <w:rPr>
                <w:color w:val="FF0000"/>
                <w:spacing w:val="-2"/>
                <w:sz w:val="18"/>
                <w:szCs w:val="18"/>
              </w:rPr>
            </w:pPr>
          </w:p>
        </w:tc>
        <w:tc>
          <w:tcPr>
            <w:tcW w:w="1361" w:type="dxa"/>
            <w:shd w:val="clear" w:color="auto" w:fill="D9D9D9" w:themeFill="background1" w:themeFillShade="D9"/>
            <w:vAlign w:val="center"/>
          </w:tcPr>
          <w:p w:rsidR="00421480" w:rsidRPr="001967DA" w:rsidRDefault="00421480" w:rsidP="009F0686">
            <w:pPr>
              <w:tabs>
                <w:tab w:val="left" w:pos="336"/>
              </w:tabs>
              <w:spacing w:line="240" w:lineRule="auto"/>
              <w:ind w:right="113"/>
              <w:jc w:val="right"/>
              <w:rPr>
                <w:color w:val="581D74" w:themeColor="accent1"/>
                <w:spacing w:val="-2"/>
                <w:sz w:val="18"/>
                <w:szCs w:val="18"/>
              </w:rPr>
            </w:pPr>
            <w:r w:rsidRPr="001967DA">
              <w:rPr>
                <w:color w:val="581D74" w:themeColor="accent1"/>
                <w:spacing w:val="-2"/>
                <w:sz w:val="18"/>
                <w:szCs w:val="18"/>
              </w:rPr>
              <w:t>- 3 692</w:t>
            </w:r>
          </w:p>
        </w:tc>
        <w:tc>
          <w:tcPr>
            <w:tcW w:w="1361" w:type="dxa"/>
            <w:vAlign w:val="center"/>
          </w:tcPr>
          <w:p w:rsidR="00421480" w:rsidRPr="001967DA" w:rsidRDefault="00421480" w:rsidP="009F0686">
            <w:pPr>
              <w:tabs>
                <w:tab w:val="left" w:pos="336"/>
              </w:tabs>
              <w:spacing w:line="240" w:lineRule="auto"/>
              <w:ind w:right="113"/>
              <w:jc w:val="right"/>
              <w:rPr>
                <w:color w:val="581D74" w:themeColor="accent1"/>
                <w:spacing w:val="-2"/>
                <w:sz w:val="18"/>
                <w:szCs w:val="18"/>
              </w:rPr>
            </w:pPr>
            <w:r w:rsidRPr="001967DA">
              <w:rPr>
                <w:color w:val="581D74" w:themeColor="accent1"/>
                <w:spacing w:val="-2"/>
                <w:sz w:val="18"/>
                <w:szCs w:val="18"/>
              </w:rPr>
              <w:t>+ 3,9 %</w:t>
            </w:r>
          </w:p>
        </w:tc>
      </w:tr>
      <w:tr w:rsidR="00421480" w:rsidRPr="00A80C42" w:rsidTr="009F0686">
        <w:trPr>
          <w:trHeight w:val="340"/>
        </w:trPr>
        <w:tc>
          <w:tcPr>
            <w:tcW w:w="4139" w:type="dxa"/>
            <w:vAlign w:val="center"/>
          </w:tcPr>
          <w:p w:rsidR="00421480" w:rsidRPr="00AA12BF" w:rsidRDefault="00421480" w:rsidP="009F0686">
            <w:pPr>
              <w:tabs>
                <w:tab w:val="left" w:pos="336"/>
              </w:tabs>
              <w:spacing w:line="240" w:lineRule="auto"/>
              <w:ind w:left="113" w:right="113"/>
              <w:jc w:val="left"/>
              <w:rPr>
                <w:b/>
                <w:color w:val="581D74" w:themeColor="accent1"/>
                <w:spacing w:val="-2"/>
                <w:sz w:val="18"/>
                <w:szCs w:val="18"/>
              </w:rPr>
            </w:pPr>
            <w:r w:rsidRPr="00AA12BF">
              <w:rPr>
                <w:b/>
                <w:color w:val="581D74" w:themeColor="accent1"/>
                <w:spacing w:val="-2"/>
                <w:sz w:val="18"/>
                <w:szCs w:val="18"/>
              </w:rPr>
              <w:t>Résultat brut d’exploitation</w:t>
            </w:r>
            <w:r w:rsidR="00CE4129" w:rsidRPr="0000413E">
              <w:rPr>
                <w:b/>
                <w:color w:val="581D74" w:themeColor="accent1"/>
                <w:spacing w:val="-2"/>
                <w:sz w:val="18"/>
                <w:szCs w:val="18"/>
                <w:vertAlign w:val="superscript"/>
              </w:rPr>
              <w:t xml:space="preserve"> ***</w:t>
            </w:r>
          </w:p>
        </w:tc>
        <w:tc>
          <w:tcPr>
            <w:tcW w:w="1361" w:type="dxa"/>
            <w:shd w:val="clear" w:color="auto" w:fill="D9D9D9" w:themeFill="background1" w:themeFillShade="D9"/>
            <w:vAlign w:val="center"/>
          </w:tcPr>
          <w:p w:rsidR="00421480" w:rsidRPr="00331AE2" w:rsidRDefault="00421480" w:rsidP="009F0686">
            <w:pPr>
              <w:tabs>
                <w:tab w:val="left" w:pos="336"/>
              </w:tabs>
              <w:spacing w:line="240" w:lineRule="auto"/>
              <w:ind w:right="113"/>
              <w:jc w:val="right"/>
              <w:rPr>
                <w:b/>
                <w:color w:val="581D74" w:themeColor="accent1"/>
                <w:spacing w:val="-2"/>
                <w:sz w:val="18"/>
                <w:szCs w:val="18"/>
              </w:rPr>
            </w:pPr>
            <w:r w:rsidRPr="00331AE2">
              <w:rPr>
                <w:b/>
                <w:color w:val="581D74" w:themeColor="accent1"/>
                <w:spacing w:val="-2"/>
                <w:sz w:val="18"/>
                <w:szCs w:val="18"/>
              </w:rPr>
              <w:t>2 010</w:t>
            </w:r>
          </w:p>
        </w:tc>
        <w:tc>
          <w:tcPr>
            <w:tcW w:w="1361" w:type="dxa"/>
            <w:vAlign w:val="center"/>
          </w:tcPr>
          <w:p w:rsidR="00421480" w:rsidRPr="00331AE2" w:rsidRDefault="00421480" w:rsidP="009F0686">
            <w:pPr>
              <w:tabs>
                <w:tab w:val="left" w:pos="336"/>
              </w:tabs>
              <w:spacing w:line="240" w:lineRule="auto"/>
              <w:ind w:right="113"/>
              <w:jc w:val="right"/>
              <w:rPr>
                <w:b/>
                <w:color w:val="581D74" w:themeColor="accent1"/>
                <w:spacing w:val="-2"/>
                <w:sz w:val="18"/>
                <w:szCs w:val="18"/>
              </w:rPr>
            </w:pPr>
            <w:r w:rsidRPr="00331AE2">
              <w:rPr>
                <w:b/>
                <w:color w:val="581D74" w:themeColor="accent1"/>
                <w:spacing w:val="-2"/>
                <w:sz w:val="18"/>
                <w:szCs w:val="18"/>
              </w:rPr>
              <w:t>+ 6,2 %</w:t>
            </w:r>
          </w:p>
        </w:tc>
        <w:tc>
          <w:tcPr>
            <w:tcW w:w="113" w:type="dxa"/>
          </w:tcPr>
          <w:p w:rsidR="00421480" w:rsidRPr="00331AE2" w:rsidRDefault="00421480" w:rsidP="009F0686">
            <w:pPr>
              <w:tabs>
                <w:tab w:val="left" w:pos="336"/>
              </w:tabs>
              <w:spacing w:line="240" w:lineRule="auto"/>
              <w:rPr>
                <w:b/>
                <w:color w:val="581D74" w:themeColor="accent1"/>
                <w:spacing w:val="-2"/>
                <w:sz w:val="18"/>
                <w:szCs w:val="18"/>
              </w:rPr>
            </w:pPr>
          </w:p>
        </w:tc>
        <w:tc>
          <w:tcPr>
            <w:tcW w:w="1361" w:type="dxa"/>
            <w:shd w:val="clear" w:color="auto" w:fill="D9D9D9" w:themeFill="background1" w:themeFillShade="D9"/>
            <w:vAlign w:val="center"/>
          </w:tcPr>
          <w:p w:rsidR="00421480" w:rsidRPr="001967DA" w:rsidRDefault="00421480" w:rsidP="009F0686">
            <w:pPr>
              <w:tabs>
                <w:tab w:val="left" w:pos="336"/>
              </w:tabs>
              <w:spacing w:line="240" w:lineRule="auto"/>
              <w:ind w:right="113"/>
              <w:jc w:val="right"/>
              <w:rPr>
                <w:b/>
                <w:color w:val="581D74" w:themeColor="accent1"/>
                <w:spacing w:val="-2"/>
                <w:sz w:val="18"/>
                <w:szCs w:val="18"/>
              </w:rPr>
            </w:pPr>
            <w:r w:rsidRPr="001967DA">
              <w:rPr>
                <w:b/>
                <w:color w:val="581D74" w:themeColor="accent1"/>
                <w:spacing w:val="-2"/>
                <w:sz w:val="18"/>
                <w:szCs w:val="18"/>
              </w:rPr>
              <w:t>2 219</w:t>
            </w:r>
          </w:p>
        </w:tc>
        <w:tc>
          <w:tcPr>
            <w:tcW w:w="1361" w:type="dxa"/>
            <w:vAlign w:val="center"/>
          </w:tcPr>
          <w:p w:rsidR="00421480" w:rsidRPr="001967DA" w:rsidRDefault="00421480" w:rsidP="009F0686">
            <w:pPr>
              <w:tabs>
                <w:tab w:val="left" w:pos="336"/>
              </w:tabs>
              <w:spacing w:line="240" w:lineRule="auto"/>
              <w:ind w:right="113"/>
              <w:jc w:val="right"/>
              <w:rPr>
                <w:b/>
                <w:color w:val="581D74" w:themeColor="accent1"/>
                <w:spacing w:val="-2"/>
                <w:sz w:val="18"/>
                <w:szCs w:val="18"/>
              </w:rPr>
            </w:pPr>
            <w:r w:rsidRPr="001967DA">
              <w:rPr>
                <w:b/>
                <w:color w:val="581D74" w:themeColor="accent1"/>
                <w:spacing w:val="-2"/>
                <w:sz w:val="18"/>
                <w:szCs w:val="18"/>
              </w:rPr>
              <w:t>+ 10,7 %</w:t>
            </w:r>
          </w:p>
        </w:tc>
      </w:tr>
      <w:tr w:rsidR="00421480" w:rsidRPr="00A80C42" w:rsidTr="009F0686">
        <w:trPr>
          <w:trHeight w:val="340"/>
        </w:trPr>
        <w:tc>
          <w:tcPr>
            <w:tcW w:w="4139" w:type="dxa"/>
            <w:vAlign w:val="center"/>
          </w:tcPr>
          <w:p w:rsidR="00421480" w:rsidRPr="009446BF" w:rsidRDefault="00421480" w:rsidP="009F0686">
            <w:pPr>
              <w:tabs>
                <w:tab w:val="left" w:pos="336"/>
              </w:tabs>
              <w:spacing w:line="240" w:lineRule="auto"/>
              <w:ind w:left="113" w:right="113"/>
              <w:jc w:val="left"/>
              <w:rPr>
                <w:spacing w:val="-2"/>
                <w:sz w:val="18"/>
                <w:szCs w:val="18"/>
              </w:rPr>
            </w:pPr>
            <w:r>
              <w:rPr>
                <w:spacing w:val="-2"/>
                <w:sz w:val="18"/>
                <w:szCs w:val="18"/>
              </w:rPr>
              <w:t>Coût du risque</w:t>
            </w:r>
            <w:r w:rsidR="00CE4129">
              <w:rPr>
                <w:spacing w:val="-2"/>
                <w:sz w:val="18"/>
                <w:szCs w:val="18"/>
              </w:rPr>
              <w:t xml:space="preserve"> </w:t>
            </w:r>
            <w:r w:rsidR="00CE4129" w:rsidRPr="0000413E">
              <w:rPr>
                <w:spacing w:val="-2"/>
                <w:sz w:val="18"/>
                <w:szCs w:val="18"/>
                <w:vertAlign w:val="superscript"/>
              </w:rPr>
              <w:t>***</w:t>
            </w:r>
          </w:p>
        </w:tc>
        <w:tc>
          <w:tcPr>
            <w:tcW w:w="1361" w:type="dxa"/>
            <w:shd w:val="clear" w:color="auto" w:fill="D9D9D9" w:themeFill="background1" w:themeFillShade="D9"/>
            <w:vAlign w:val="center"/>
          </w:tcPr>
          <w:p w:rsidR="00421480" w:rsidRPr="00331AE2" w:rsidRDefault="00421480" w:rsidP="009F0686">
            <w:pPr>
              <w:tabs>
                <w:tab w:val="left" w:pos="336"/>
              </w:tabs>
              <w:spacing w:line="240" w:lineRule="auto"/>
              <w:ind w:right="113"/>
              <w:jc w:val="right"/>
              <w:rPr>
                <w:color w:val="581D74" w:themeColor="accent1"/>
                <w:spacing w:val="-2"/>
                <w:sz w:val="18"/>
                <w:szCs w:val="18"/>
              </w:rPr>
            </w:pPr>
            <w:r w:rsidRPr="00331AE2">
              <w:rPr>
                <w:color w:val="581D74" w:themeColor="accent1"/>
                <w:spacing w:val="-2"/>
                <w:sz w:val="18"/>
                <w:szCs w:val="18"/>
              </w:rPr>
              <w:t>- 436</w:t>
            </w:r>
          </w:p>
        </w:tc>
        <w:tc>
          <w:tcPr>
            <w:tcW w:w="1361" w:type="dxa"/>
            <w:vAlign w:val="center"/>
          </w:tcPr>
          <w:p w:rsidR="00421480" w:rsidRPr="00331AE2" w:rsidRDefault="00421480" w:rsidP="009F0686">
            <w:pPr>
              <w:tabs>
                <w:tab w:val="left" w:pos="336"/>
              </w:tabs>
              <w:spacing w:line="240" w:lineRule="auto"/>
              <w:ind w:right="113"/>
              <w:jc w:val="right"/>
              <w:rPr>
                <w:color w:val="581D74" w:themeColor="accent1"/>
                <w:spacing w:val="-2"/>
                <w:sz w:val="18"/>
                <w:szCs w:val="18"/>
              </w:rPr>
            </w:pPr>
            <w:r w:rsidRPr="00331AE2">
              <w:rPr>
                <w:color w:val="581D74" w:themeColor="accent1"/>
                <w:spacing w:val="-2"/>
                <w:sz w:val="18"/>
                <w:szCs w:val="18"/>
              </w:rPr>
              <w:t>- 10,5 %</w:t>
            </w:r>
          </w:p>
        </w:tc>
        <w:tc>
          <w:tcPr>
            <w:tcW w:w="113" w:type="dxa"/>
          </w:tcPr>
          <w:p w:rsidR="00421480" w:rsidRPr="00FD1FEC" w:rsidRDefault="00421480" w:rsidP="009F0686">
            <w:pPr>
              <w:tabs>
                <w:tab w:val="left" w:pos="336"/>
              </w:tabs>
              <w:spacing w:line="240" w:lineRule="auto"/>
              <w:rPr>
                <w:color w:val="FF0000"/>
                <w:spacing w:val="-2"/>
                <w:sz w:val="18"/>
                <w:szCs w:val="18"/>
              </w:rPr>
            </w:pPr>
          </w:p>
        </w:tc>
        <w:tc>
          <w:tcPr>
            <w:tcW w:w="1361" w:type="dxa"/>
            <w:shd w:val="clear" w:color="auto" w:fill="D9D9D9" w:themeFill="background1" w:themeFillShade="D9"/>
            <w:vAlign w:val="center"/>
          </w:tcPr>
          <w:p w:rsidR="00421480" w:rsidRPr="001967DA" w:rsidRDefault="00421480" w:rsidP="009F0686">
            <w:pPr>
              <w:tabs>
                <w:tab w:val="left" w:pos="336"/>
              </w:tabs>
              <w:spacing w:line="240" w:lineRule="auto"/>
              <w:ind w:right="113"/>
              <w:jc w:val="right"/>
              <w:rPr>
                <w:color w:val="581D74" w:themeColor="accent1"/>
                <w:spacing w:val="-2"/>
                <w:sz w:val="18"/>
                <w:szCs w:val="18"/>
              </w:rPr>
            </w:pPr>
            <w:r w:rsidRPr="001967DA">
              <w:rPr>
                <w:color w:val="581D74" w:themeColor="accent1"/>
                <w:spacing w:val="-2"/>
                <w:sz w:val="18"/>
                <w:szCs w:val="18"/>
              </w:rPr>
              <w:t>- 419</w:t>
            </w:r>
          </w:p>
        </w:tc>
        <w:tc>
          <w:tcPr>
            <w:tcW w:w="1361" w:type="dxa"/>
            <w:vAlign w:val="center"/>
          </w:tcPr>
          <w:p w:rsidR="00421480" w:rsidRPr="00FD1FEC" w:rsidRDefault="00421480" w:rsidP="009F0686">
            <w:pPr>
              <w:tabs>
                <w:tab w:val="left" w:pos="336"/>
              </w:tabs>
              <w:spacing w:line="240" w:lineRule="auto"/>
              <w:ind w:right="113"/>
              <w:jc w:val="right"/>
              <w:rPr>
                <w:color w:val="FF0000"/>
                <w:spacing w:val="-2"/>
                <w:sz w:val="18"/>
                <w:szCs w:val="18"/>
              </w:rPr>
            </w:pPr>
            <w:r w:rsidRPr="001967DA">
              <w:rPr>
                <w:color w:val="581D74" w:themeColor="accent1"/>
                <w:spacing w:val="-2"/>
                <w:sz w:val="18"/>
                <w:szCs w:val="18"/>
              </w:rPr>
              <w:t>- 6,9 %</w:t>
            </w:r>
          </w:p>
        </w:tc>
      </w:tr>
      <w:tr w:rsidR="00421480" w:rsidRPr="00A80C42" w:rsidTr="009F0686">
        <w:trPr>
          <w:trHeight w:val="340"/>
        </w:trPr>
        <w:tc>
          <w:tcPr>
            <w:tcW w:w="4139" w:type="dxa"/>
            <w:vAlign w:val="center"/>
          </w:tcPr>
          <w:p w:rsidR="00421480" w:rsidRPr="00811ECB" w:rsidRDefault="00421480" w:rsidP="009F0686">
            <w:pPr>
              <w:tabs>
                <w:tab w:val="left" w:pos="336"/>
              </w:tabs>
              <w:spacing w:line="240" w:lineRule="auto"/>
              <w:ind w:left="113" w:right="113"/>
              <w:jc w:val="left"/>
              <w:rPr>
                <w:b/>
                <w:color w:val="581D74" w:themeColor="accent1"/>
                <w:spacing w:val="-2"/>
                <w:sz w:val="18"/>
                <w:szCs w:val="18"/>
              </w:rPr>
            </w:pPr>
            <w:r w:rsidRPr="00811ECB">
              <w:rPr>
                <w:b/>
                <w:color w:val="581D74" w:themeColor="accent1"/>
                <w:spacing w:val="-2"/>
                <w:sz w:val="18"/>
                <w:szCs w:val="18"/>
              </w:rPr>
              <w:t>Résultat avant impôt</w:t>
            </w:r>
            <w:r w:rsidR="00CE4129">
              <w:rPr>
                <w:b/>
                <w:color w:val="581D74" w:themeColor="accent1"/>
                <w:spacing w:val="-2"/>
                <w:sz w:val="18"/>
                <w:szCs w:val="18"/>
              </w:rPr>
              <w:t xml:space="preserve"> </w:t>
            </w:r>
            <w:r w:rsidR="00CE4129" w:rsidRPr="0000413E">
              <w:rPr>
                <w:b/>
                <w:color w:val="581D74" w:themeColor="accent1"/>
                <w:spacing w:val="-2"/>
                <w:sz w:val="18"/>
                <w:szCs w:val="18"/>
                <w:vertAlign w:val="superscript"/>
              </w:rPr>
              <w:t>***</w:t>
            </w:r>
          </w:p>
        </w:tc>
        <w:tc>
          <w:tcPr>
            <w:tcW w:w="1361" w:type="dxa"/>
            <w:shd w:val="clear" w:color="auto" w:fill="D9D9D9" w:themeFill="background1" w:themeFillShade="D9"/>
            <w:vAlign w:val="center"/>
          </w:tcPr>
          <w:p w:rsidR="00421480" w:rsidRPr="00331AE2" w:rsidRDefault="00421480" w:rsidP="009F0686">
            <w:pPr>
              <w:tabs>
                <w:tab w:val="left" w:pos="336"/>
              </w:tabs>
              <w:spacing w:line="240" w:lineRule="auto"/>
              <w:ind w:right="113"/>
              <w:jc w:val="right"/>
              <w:rPr>
                <w:b/>
                <w:color w:val="581D74" w:themeColor="accent1"/>
                <w:spacing w:val="-2"/>
                <w:sz w:val="18"/>
                <w:szCs w:val="18"/>
              </w:rPr>
            </w:pPr>
            <w:r w:rsidRPr="00331AE2">
              <w:rPr>
                <w:b/>
                <w:color w:val="581D74" w:themeColor="accent1"/>
                <w:spacing w:val="-2"/>
                <w:sz w:val="18"/>
                <w:szCs w:val="18"/>
              </w:rPr>
              <w:t>1 663</w:t>
            </w:r>
          </w:p>
        </w:tc>
        <w:tc>
          <w:tcPr>
            <w:tcW w:w="1361" w:type="dxa"/>
            <w:vAlign w:val="center"/>
          </w:tcPr>
          <w:p w:rsidR="00421480" w:rsidRPr="00331AE2" w:rsidRDefault="00421480" w:rsidP="009F0686">
            <w:pPr>
              <w:tabs>
                <w:tab w:val="left" w:pos="336"/>
              </w:tabs>
              <w:spacing w:line="240" w:lineRule="auto"/>
              <w:ind w:right="113"/>
              <w:jc w:val="right"/>
              <w:rPr>
                <w:b/>
                <w:color w:val="581D74" w:themeColor="accent1"/>
                <w:spacing w:val="-2"/>
                <w:sz w:val="18"/>
                <w:szCs w:val="18"/>
              </w:rPr>
            </w:pPr>
            <w:r w:rsidRPr="00331AE2">
              <w:rPr>
                <w:b/>
                <w:color w:val="581D74" w:themeColor="accent1"/>
                <w:spacing w:val="-2"/>
                <w:sz w:val="18"/>
                <w:szCs w:val="18"/>
              </w:rPr>
              <w:t>+ 10,9 %</w:t>
            </w:r>
          </w:p>
        </w:tc>
        <w:tc>
          <w:tcPr>
            <w:tcW w:w="113" w:type="dxa"/>
          </w:tcPr>
          <w:p w:rsidR="00421480" w:rsidRPr="00FD1FEC" w:rsidRDefault="00421480" w:rsidP="009F0686">
            <w:pPr>
              <w:tabs>
                <w:tab w:val="left" w:pos="336"/>
              </w:tabs>
              <w:spacing w:line="240" w:lineRule="auto"/>
              <w:rPr>
                <w:b/>
                <w:color w:val="FF0000"/>
                <w:spacing w:val="-2"/>
                <w:sz w:val="18"/>
                <w:szCs w:val="18"/>
              </w:rPr>
            </w:pPr>
          </w:p>
        </w:tc>
        <w:tc>
          <w:tcPr>
            <w:tcW w:w="1361" w:type="dxa"/>
            <w:shd w:val="clear" w:color="auto" w:fill="D9D9D9" w:themeFill="background1" w:themeFillShade="D9"/>
            <w:vAlign w:val="center"/>
          </w:tcPr>
          <w:p w:rsidR="00421480" w:rsidRPr="001967DA" w:rsidRDefault="00421480" w:rsidP="009F0686">
            <w:pPr>
              <w:tabs>
                <w:tab w:val="left" w:pos="336"/>
              </w:tabs>
              <w:spacing w:line="240" w:lineRule="auto"/>
              <w:ind w:right="113"/>
              <w:jc w:val="right"/>
              <w:rPr>
                <w:b/>
                <w:color w:val="581D74" w:themeColor="accent1"/>
                <w:spacing w:val="-2"/>
                <w:sz w:val="18"/>
                <w:szCs w:val="18"/>
              </w:rPr>
            </w:pPr>
            <w:r w:rsidRPr="001967DA">
              <w:rPr>
                <w:b/>
                <w:color w:val="581D74" w:themeColor="accent1"/>
                <w:spacing w:val="-2"/>
                <w:sz w:val="18"/>
                <w:szCs w:val="18"/>
              </w:rPr>
              <w:t>1 868</w:t>
            </w:r>
          </w:p>
        </w:tc>
        <w:tc>
          <w:tcPr>
            <w:tcW w:w="1361" w:type="dxa"/>
            <w:vAlign w:val="center"/>
          </w:tcPr>
          <w:p w:rsidR="00421480" w:rsidRPr="00FD1FEC" w:rsidRDefault="00421480" w:rsidP="009F0686">
            <w:pPr>
              <w:tabs>
                <w:tab w:val="left" w:pos="336"/>
              </w:tabs>
              <w:spacing w:line="240" w:lineRule="auto"/>
              <w:ind w:right="113"/>
              <w:jc w:val="right"/>
              <w:rPr>
                <w:b/>
                <w:color w:val="FF0000"/>
                <w:spacing w:val="-2"/>
                <w:sz w:val="18"/>
                <w:szCs w:val="18"/>
              </w:rPr>
            </w:pPr>
            <w:r w:rsidRPr="001967DA">
              <w:rPr>
                <w:b/>
                <w:color w:val="581D74" w:themeColor="accent1"/>
                <w:spacing w:val="-2"/>
                <w:sz w:val="18"/>
                <w:szCs w:val="18"/>
              </w:rPr>
              <w:t>+ 15,2 %</w:t>
            </w:r>
          </w:p>
        </w:tc>
      </w:tr>
      <w:tr w:rsidR="00421480" w:rsidRPr="00A80C42" w:rsidTr="009F0686">
        <w:trPr>
          <w:trHeight w:val="340"/>
        </w:trPr>
        <w:tc>
          <w:tcPr>
            <w:tcW w:w="4139" w:type="dxa"/>
            <w:vAlign w:val="center"/>
          </w:tcPr>
          <w:p w:rsidR="00421480" w:rsidRPr="00811ECB" w:rsidRDefault="00421480" w:rsidP="009F0686">
            <w:pPr>
              <w:tabs>
                <w:tab w:val="left" w:pos="336"/>
              </w:tabs>
              <w:spacing w:line="240" w:lineRule="auto"/>
              <w:ind w:left="113" w:right="113"/>
              <w:jc w:val="left"/>
              <w:rPr>
                <w:b/>
                <w:color w:val="581D74" w:themeColor="accent1"/>
                <w:spacing w:val="-2"/>
                <w:sz w:val="18"/>
                <w:szCs w:val="18"/>
              </w:rPr>
            </w:pPr>
            <w:r w:rsidRPr="00811ECB">
              <w:rPr>
                <w:b/>
                <w:color w:val="581D74" w:themeColor="accent1"/>
                <w:spacing w:val="-2"/>
                <w:sz w:val="18"/>
                <w:szCs w:val="18"/>
              </w:rPr>
              <w:t>Résultat net part du groupe</w:t>
            </w:r>
            <w:r w:rsidR="00CE4129">
              <w:rPr>
                <w:b/>
                <w:color w:val="581D74" w:themeColor="accent1"/>
                <w:spacing w:val="-2"/>
                <w:sz w:val="18"/>
                <w:szCs w:val="18"/>
              </w:rPr>
              <w:t xml:space="preserve"> </w:t>
            </w:r>
            <w:r w:rsidR="00CE4129" w:rsidRPr="0000413E">
              <w:rPr>
                <w:b/>
                <w:color w:val="581D74" w:themeColor="accent1"/>
                <w:spacing w:val="-2"/>
                <w:sz w:val="18"/>
                <w:szCs w:val="18"/>
                <w:vertAlign w:val="superscript"/>
              </w:rPr>
              <w:t>***</w:t>
            </w:r>
          </w:p>
        </w:tc>
        <w:tc>
          <w:tcPr>
            <w:tcW w:w="1361" w:type="dxa"/>
            <w:shd w:val="clear" w:color="auto" w:fill="D9D9D9" w:themeFill="background1" w:themeFillShade="D9"/>
            <w:vAlign w:val="center"/>
          </w:tcPr>
          <w:p w:rsidR="00421480" w:rsidRPr="00331AE2" w:rsidRDefault="00421480" w:rsidP="009F0686">
            <w:pPr>
              <w:tabs>
                <w:tab w:val="left" w:pos="336"/>
              </w:tabs>
              <w:spacing w:line="240" w:lineRule="auto"/>
              <w:ind w:right="113"/>
              <w:jc w:val="right"/>
              <w:rPr>
                <w:b/>
                <w:color w:val="581D74" w:themeColor="accent1"/>
                <w:spacing w:val="-2"/>
                <w:sz w:val="18"/>
                <w:szCs w:val="18"/>
              </w:rPr>
            </w:pPr>
            <w:r w:rsidRPr="00331AE2">
              <w:rPr>
                <w:b/>
                <w:color w:val="581D74" w:themeColor="accent1"/>
                <w:spacing w:val="-2"/>
                <w:sz w:val="18"/>
                <w:szCs w:val="18"/>
              </w:rPr>
              <w:t>886</w:t>
            </w:r>
          </w:p>
        </w:tc>
        <w:tc>
          <w:tcPr>
            <w:tcW w:w="1361" w:type="dxa"/>
            <w:vAlign w:val="center"/>
          </w:tcPr>
          <w:p w:rsidR="00421480" w:rsidRPr="00331AE2" w:rsidRDefault="00421480" w:rsidP="009F0686">
            <w:pPr>
              <w:tabs>
                <w:tab w:val="left" w:pos="336"/>
              </w:tabs>
              <w:spacing w:line="240" w:lineRule="auto"/>
              <w:ind w:right="113"/>
              <w:jc w:val="right"/>
              <w:rPr>
                <w:b/>
                <w:color w:val="581D74" w:themeColor="accent1"/>
                <w:spacing w:val="-2"/>
                <w:sz w:val="18"/>
                <w:szCs w:val="18"/>
              </w:rPr>
            </w:pPr>
            <w:r w:rsidRPr="00331AE2">
              <w:rPr>
                <w:b/>
                <w:color w:val="581D74" w:themeColor="accent1"/>
                <w:spacing w:val="-2"/>
                <w:sz w:val="18"/>
                <w:szCs w:val="18"/>
              </w:rPr>
              <w:t>+ 2,5 %</w:t>
            </w:r>
          </w:p>
        </w:tc>
        <w:tc>
          <w:tcPr>
            <w:tcW w:w="113" w:type="dxa"/>
          </w:tcPr>
          <w:p w:rsidR="00421480" w:rsidRPr="00FD1FEC" w:rsidRDefault="00421480" w:rsidP="009F0686">
            <w:pPr>
              <w:tabs>
                <w:tab w:val="left" w:pos="336"/>
              </w:tabs>
              <w:spacing w:line="240" w:lineRule="auto"/>
              <w:rPr>
                <w:b/>
                <w:color w:val="FF0000"/>
                <w:spacing w:val="-2"/>
                <w:sz w:val="18"/>
                <w:szCs w:val="18"/>
              </w:rPr>
            </w:pPr>
          </w:p>
        </w:tc>
        <w:tc>
          <w:tcPr>
            <w:tcW w:w="1361" w:type="dxa"/>
            <w:shd w:val="clear" w:color="auto" w:fill="D9D9D9" w:themeFill="background1" w:themeFillShade="D9"/>
            <w:vAlign w:val="center"/>
          </w:tcPr>
          <w:p w:rsidR="00421480" w:rsidRPr="001967DA" w:rsidRDefault="00421480" w:rsidP="009F0686">
            <w:pPr>
              <w:tabs>
                <w:tab w:val="left" w:pos="336"/>
              </w:tabs>
              <w:spacing w:line="240" w:lineRule="auto"/>
              <w:ind w:right="113"/>
              <w:jc w:val="right"/>
              <w:rPr>
                <w:b/>
                <w:color w:val="581D74" w:themeColor="accent1"/>
                <w:spacing w:val="-2"/>
                <w:sz w:val="18"/>
                <w:szCs w:val="18"/>
              </w:rPr>
            </w:pPr>
            <w:r w:rsidRPr="001967DA">
              <w:rPr>
                <w:b/>
                <w:color w:val="581D74" w:themeColor="accent1"/>
                <w:spacing w:val="-2"/>
                <w:sz w:val="18"/>
                <w:szCs w:val="18"/>
              </w:rPr>
              <w:t xml:space="preserve"> 1 058</w:t>
            </w:r>
          </w:p>
        </w:tc>
        <w:tc>
          <w:tcPr>
            <w:tcW w:w="1361" w:type="dxa"/>
            <w:vAlign w:val="center"/>
          </w:tcPr>
          <w:p w:rsidR="00421480" w:rsidRPr="001967DA" w:rsidRDefault="00421480" w:rsidP="009F0686">
            <w:pPr>
              <w:tabs>
                <w:tab w:val="left" w:pos="336"/>
              </w:tabs>
              <w:spacing w:line="240" w:lineRule="auto"/>
              <w:ind w:right="113"/>
              <w:jc w:val="right"/>
              <w:rPr>
                <w:b/>
                <w:color w:val="581D74" w:themeColor="accent1"/>
                <w:spacing w:val="-2"/>
                <w:sz w:val="18"/>
                <w:szCs w:val="18"/>
              </w:rPr>
            </w:pPr>
            <w:r w:rsidRPr="001967DA">
              <w:rPr>
                <w:b/>
                <w:color w:val="581D74" w:themeColor="accent1"/>
                <w:spacing w:val="-2"/>
                <w:sz w:val="18"/>
                <w:szCs w:val="18"/>
              </w:rPr>
              <w:t>+ 15,4 %</w:t>
            </w:r>
          </w:p>
        </w:tc>
      </w:tr>
      <w:tr w:rsidR="00421480" w:rsidRPr="00A80C42" w:rsidTr="009F0686">
        <w:trPr>
          <w:trHeight w:val="227"/>
        </w:trPr>
        <w:tc>
          <w:tcPr>
            <w:tcW w:w="4139" w:type="dxa"/>
            <w:vAlign w:val="center"/>
          </w:tcPr>
          <w:p w:rsidR="00421480" w:rsidRPr="00AA12BF" w:rsidRDefault="00421480" w:rsidP="009F0686">
            <w:pPr>
              <w:tabs>
                <w:tab w:val="left" w:pos="336"/>
              </w:tabs>
              <w:spacing w:line="240" w:lineRule="auto"/>
              <w:ind w:left="113" w:right="113"/>
              <w:jc w:val="left"/>
              <w:rPr>
                <w:b/>
                <w:spacing w:val="-2"/>
                <w:sz w:val="18"/>
                <w:szCs w:val="18"/>
              </w:rPr>
            </w:pPr>
          </w:p>
        </w:tc>
        <w:tc>
          <w:tcPr>
            <w:tcW w:w="1361" w:type="dxa"/>
            <w:shd w:val="clear" w:color="auto" w:fill="D9D9D9" w:themeFill="background1" w:themeFillShade="D9"/>
            <w:vAlign w:val="center"/>
          </w:tcPr>
          <w:p w:rsidR="00421480" w:rsidRPr="00331AE2" w:rsidRDefault="00421480" w:rsidP="009F0686">
            <w:pPr>
              <w:tabs>
                <w:tab w:val="left" w:pos="336"/>
              </w:tabs>
              <w:spacing w:line="240" w:lineRule="auto"/>
              <w:ind w:right="113"/>
              <w:jc w:val="right"/>
              <w:rPr>
                <w:b/>
                <w:color w:val="581D74" w:themeColor="accent1"/>
                <w:spacing w:val="-2"/>
                <w:sz w:val="18"/>
                <w:szCs w:val="18"/>
              </w:rPr>
            </w:pPr>
          </w:p>
        </w:tc>
        <w:tc>
          <w:tcPr>
            <w:tcW w:w="1361" w:type="dxa"/>
            <w:vAlign w:val="center"/>
          </w:tcPr>
          <w:p w:rsidR="00421480" w:rsidRPr="00FD1FEC" w:rsidRDefault="00421480" w:rsidP="009F0686">
            <w:pPr>
              <w:tabs>
                <w:tab w:val="left" w:pos="336"/>
              </w:tabs>
              <w:spacing w:line="240" w:lineRule="auto"/>
              <w:ind w:right="113"/>
              <w:jc w:val="right"/>
              <w:rPr>
                <w:b/>
                <w:color w:val="FF0000"/>
                <w:spacing w:val="-2"/>
                <w:sz w:val="18"/>
                <w:szCs w:val="18"/>
              </w:rPr>
            </w:pPr>
          </w:p>
        </w:tc>
        <w:tc>
          <w:tcPr>
            <w:tcW w:w="113" w:type="dxa"/>
          </w:tcPr>
          <w:p w:rsidR="00421480" w:rsidRPr="00FD1FEC" w:rsidRDefault="00421480" w:rsidP="009F0686">
            <w:pPr>
              <w:tabs>
                <w:tab w:val="left" w:pos="336"/>
              </w:tabs>
              <w:spacing w:line="240" w:lineRule="auto"/>
              <w:rPr>
                <w:b/>
                <w:color w:val="FF0000"/>
                <w:spacing w:val="-2"/>
                <w:sz w:val="18"/>
                <w:szCs w:val="18"/>
              </w:rPr>
            </w:pPr>
          </w:p>
        </w:tc>
        <w:tc>
          <w:tcPr>
            <w:tcW w:w="1361" w:type="dxa"/>
            <w:shd w:val="clear" w:color="auto" w:fill="D9D9D9" w:themeFill="background1" w:themeFillShade="D9"/>
            <w:vAlign w:val="center"/>
          </w:tcPr>
          <w:p w:rsidR="00421480" w:rsidRPr="00FD1FEC" w:rsidRDefault="00421480" w:rsidP="009F0686">
            <w:pPr>
              <w:tabs>
                <w:tab w:val="left" w:pos="336"/>
              </w:tabs>
              <w:spacing w:line="240" w:lineRule="auto"/>
              <w:ind w:right="113"/>
              <w:jc w:val="right"/>
              <w:rPr>
                <w:b/>
                <w:color w:val="FF0000"/>
                <w:spacing w:val="-2"/>
                <w:sz w:val="18"/>
                <w:szCs w:val="18"/>
              </w:rPr>
            </w:pPr>
          </w:p>
        </w:tc>
        <w:tc>
          <w:tcPr>
            <w:tcW w:w="1361" w:type="dxa"/>
            <w:vAlign w:val="center"/>
          </w:tcPr>
          <w:p w:rsidR="00421480" w:rsidRPr="00FD1FEC" w:rsidRDefault="00421480" w:rsidP="009F0686">
            <w:pPr>
              <w:tabs>
                <w:tab w:val="left" w:pos="336"/>
              </w:tabs>
              <w:spacing w:line="240" w:lineRule="auto"/>
              <w:ind w:right="113"/>
              <w:jc w:val="right"/>
              <w:rPr>
                <w:b/>
                <w:color w:val="FF0000"/>
                <w:spacing w:val="-2"/>
                <w:sz w:val="18"/>
                <w:szCs w:val="18"/>
              </w:rPr>
            </w:pPr>
          </w:p>
        </w:tc>
      </w:tr>
      <w:tr w:rsidR="00421480" w:rsidRPr="00A80C42" w:rsidTr="009F0686">
        <w:trPr>
          <w:trHeight w:val="340"/>
        </w:trPr>
        <w:tc>
          <w:tcPr>
            <w:tcW w:w="4139" w:type="dxa"/>
            <w:tcBorders>
              <w:bottom w:val="single" w:sz="12" w:space="0" w:color="A778AE" w:themeColor="accent2"/>
            </w:tcBorders>
            <w:vAlign w:val="center"/>
          </w:tcPr>
          <w:p w:rsidR="00421480" w:rsidRPr="00811ECB" w:rsidRDefault="00421480" w:rsidP="009F0686">
            <w:pPr>
              <w:tabs>
                <w:tab w:val="left" w:pos="336"/>
              </w:tabs>
              <w:spacing w:line="240" w:lineRule="auto"/>
              <w:ind w:left="113" w:right="113"/>
              <w:jc w:val="left"/>
              <w:rPr>
                <w:color w:val="581D74" w:themeColor="accent1"/>
                <w:spacing w:val="-2"/>
                <w:sz w:val="16"/>
                <w:szCs w:val="16"/>
              </w:rPr>
            </w:pPr>
            <w:r w:rsidRPr="00811ECB">
              <w:rPr>
                <w:color w:val="581D74" w:themeColor="accent1"/>
                <w:spacing w:val="-2"/>
                <w:sz w:val="16"/>
                <w:szCs w:val="16"/>
              </w:rPr>
              <w:t xml:space="preserve">Retraitement de l’impact IFRIC 21 </w:t>
            </w:r>
          </w:p>
        </w:tc>
        <w:tc>
          <w:tcPr>
            <w:tcW w:w="1361" w:type="dxa"/>
            <w:shd w:val="clear" w:color="auto" w:fill="D9D9D9" w:themeFill="background1" w:themeFillShade="D9"/>
            <w:vAlign w:val="center"/>
          </w:tcPr>
          <w:p w:rsidR="00421480" w:rsidRPr="001967DA" w:rsidRDefault="00421480" w:rsidP="009F0686">
            <w:pPr>
              <w:pStyle w:val="Paragraphedeliste"/>
              <w:numPr>
                <w:ilvl w:val="0"/>
                <w:numId w:val="23"/>
              </w:numPr>
              <w:tabs>
                <w:tab w:val="left" w:pos="336"/>
              </w:tabs>
              <w:ind w:right="113"/>
              <w:jc w:val="right"/>
              <w:rPr>
                <w:color w:val="581D74" w:themeColor="accent1"/>
                <w:spacing w:val="-2"/>
                <w:sz w:val="18"/>
                <w:szCs w:val="18"/>
              </w:rPr>
            </w:pPr>
            <w:r w:rsidRPr="001967DA">
              <w:rPr>
                <w:color w:val="581D74" w:themeColor="accent1"/>
                <w:spacing w:val="-2"/>
                <w:sz w:val="16"/>
                <w:szCs w:val="16"/>
              </w:rPr>
              <w:t>45</w:t>
            </w:r>
          </w:p>
        </w:tc>
        <w:tc>
          <w:tcPr>
            <w:tcW w:w="1361" w:type="dxa"/>
            <w:vAlign w:val="center"/>
          </w:tcPr>
          <w:p w:rsidR="00421480" w:rsidRPr="001967DA" w:rsidRDefault="00421480" w:rsidP="009F0686">
            <w:pPr>
              <w:tabs>
                <w:tab w:val="left" w:pos="336"/>
              </w:tabs>
              <w:spacing w:line="240" w:lineRule="auto"/>
              <w:ind w:right="113"/>
              <w:jc w:val="right"/>
              <w:rPr>
                <w:color w:val="581D74" w:themeColor="accent1"/>
                <w:spacing w:val="-2"/>
                <w:sz w:val="18"/>
                <w:szCs w:val="18"/>
              </w:rPr>
            </w:pPr>
          </w:p>
        </w:tc>
        <w:tc>
          <w:tcPr>
            <w:tcW w:w="113" w:type="dxa"/>
          </w:tcPr>
          <w:p w:rsidR="00421480" w:rsidRPr="001967DA" w:rsidRDefault="00421480" w:rsidP="009F0686">
            <w:pPr>
              <w:tabs>
                <w:tab w:val="left" w:pos="336"/>
              </w:tabs>
              <w:spacing w:line="240" w:lineRule="auto"/>
              <w:rPr>
                <w:color w:val="581D74" w:themeColor="accent1"/>
                <w:spacing w:val="-2"/>
                <w:sz w:val="18"/>
                <w:szCs w:val="18"/>
              </w:rPr>
            </w:pPr>
          </w:p>
        </w:tc>
        <w:tc>
          <w:tcPr>
            <w:tcW w:w="1361" w:type="dxa"/>
            <w:shd w:val="clear" w:color="auto" w:fill="D9D9D9" w:themeFill="background1" w:themeFillShade="D9"/>
            <w:vAlign w:val="center"/>
          </w:tcPr>
          <w:p w:rsidR="00421480" w:rsidRPr="001967DA" w:rsidRDefault="00421480" w:rsidP="009F0686">
            <w:pPr>
              <w:pStyle w:val="Paragraphedeliste"/>
              <w:numPr>
                <w:ilvl w:val="0"/>
                <w:numId w:val="23"/>
              </w:numPr>
              <w:tabs>
                <w:tab w:val="left" w:pos="336"/>
              </w:tabs>
              <w:ind w:right="113"/>
              <w:jc w:val="right"/>
              <w:rPr>
                <w:color w:val="581D74" w:themeColor="accent1"/>
                <w:spacing w:val="-2"/>
                <w:sz w:val="18"/>
                <w:szCs w:val="18"/>
              </w:rPr>
            </w:pPr>
            <w:r w:rsidRPr="001967DA">
              <w:rPr>
                <w:color w:val="581D74" w:themeColor="accent1"/>
                <w:spacing w:val="-2"/>
                <w:sz w:val="18"/>
                <w:szCs w:val="18"/>
              </w:rPr>
              <w:t>42</w:t>
            </w:r>
          </w:p>
        </w:tc>
        <w:tc>
          <w:tcPr>
            <w:tcW w:w="1361" w:type="dxa"/>
            <w:vAlign w:val="center"/>
          </w:tcPr>
          <w:p w:rsidR="00421480" w:rsidRPr="00FD1FEC" w:rsidRDefault="00421480" w:rsidP="009F0686">
            <w:pPr>
              <w:tabs>
                <w:tab w:val="left" w:pos="336"/>
              </w:tabs>
              <w:spacing w:line="240" w:lineRule="auto"/>
              <w:ind w:right="113"/>
              <w:jc w:val="right"/>
              <w:rPr>
                <w:color w:val="FF0000"/>
                <w:spacing w:val="-2"/>
                <w:sz w:val="18"/>
                <w:szCs w:val="18"/>
              </w:rPr>
            </w:pPr>
          </w:p>
        </w:tc>
      </w:tr>
      <w:tr w:rsidR="00421480" w:rsidRPr="001967DA" w:rsidTr="009F0686">
        <w:trPr>
          <w:trHeight w:val="340"/>
        </w:trPr>
        <w:tc>
          <w:tcPr>
            <w:tcW w:w="4139" w:type="dxa"/>
            <w:tcBorders>
              <w:top w:val="single" w:sz="12" w:space="0" w:color="A778AE" w:themeColor="accent2"/>
            </w:tcBorders>
            <w:vAlign w:val="center"/>
          </w:tcPr>
          <w:p w:rsidR="00421480" w:rsidRPr="00A97BEA" w:rsidRDefault="00421480" w:rsidP="009F0686">
            <w:pPr>
              <w:tabs>
                <w:tab w:val="left" w:pos="336"/>
              </w:tabs>
              <w:spacing w:line="240" w:lineRule="auto"/>
              <w:ind w:left="113" w:right="113"/>
              <w:jc w:val="left"/>
              <w:rPr>
                <w:b/>
                <w:color w:val="581D74" w:themeColor="accent1"/>
                <w:spacing w:val="-2"/>
                <w:sz w:val="18"/>
                <w:szCs w:val="18"/>
              </w:rPr>
            </w:pPr>
            <w:r w:rsidRPr="00A97BEA">
              <w:rPr>
                <w:b/>
                <w:color w:val="581D74" w:themeColor="accent1"/>
                <w:spacing w:val="-2"/>
                <w:sz w:val="18"/>
                <w:szCs w:val="18"/>
              </w:rPr>
              <w:t>Résultat net part du groupe</w:t>
            </w:r>
            <w:r w:rsidR="008907D1" w:rsidRPr="0000413E">
              <w:rPr>
                <w:b/>
                <w:color w:val="581D74" w:themeColor="accent1"/>
                <w:spacing w:val="-2"/>
                <w:sz w:val="18"/>
                <w:szCs w:val="18"/>
                <w:vertAlign w:val="superscript"/>
              </w:rPr>
              <w:t>****</w:t>
            </w:r>
          </w:p>
        </w:tc>
        <w:tc>
          <w:tcPr>
            <w:tcW w:w="1361" w:type="dxa"/>
            <w:tcBorders>
              <w:top w:val="single" w:sz="12" w:space="0" w:color="A778AE" w:themeColor="accent2"/>
            </w:tcBorders>
            <w:shd w:val="clear" w:color="auto" w:fill="D9D9D9" w:themeFill="background1" w:themeFillShade="D9"/>
            <w:vAlign w:val="center"/>
          </w:tcPr>
          <w:p w:rsidR="00421480" w:rsidRPr="00331AE2" w:rsidRDefault="00421480" w:rsidP="009F0686">
            <w:pPr>
              <w:tabs>
                <w:tab w:val="left" w:pos="336"/>
              </w:tabs>
              <w:spacing w:line="240" w:lineRule="auto"/>
              <w:ind w:right="113"/>
              <w:jc w:val="right"/>
              <w:rPr>
                <w:b/>
                <w:color w:val="581D74" w:themeColor="accent1"/>
                <w:spacing w:val="-2"/>
                <w:sz w:val="18"/>
                <w:szCs w:val="18"/>
              </w:rPr>
            </w:pPr>
            <w:r w:rsidRPr="00331AE2">
              <w:rPr>
                <w:b/>
                <w:color w:val="581D74" w:themeColor="accent1"/>
                <w:spacing w:val="-2"/>
                <w:sz w:val="18"/>
                <w:szCs w:val="18"/>
              </w:rPr>
              <w:t>841</w:t>
            </w:r>
          </w:p>
        </w:tc>
        <w:tc>
          <w:tcPr>
            <w:tcW w:w="1361" w:type="dxa"/>
            <w:tcBorders>
              <w:top w:val="single" w:sz="12" w:space="0" w:color="A778AE" w:themeColor="accent2"/>
            </w:tcBorders>
            <w:vAlign w:val="center"/>
          </w:tcPr>
          <w:p w:rsidR="00421480" w:rsidRPr="00FD1FEC" w:rsidRDefault="00421480" w:rsidP="009F0686">
            <w:pPr>
              <w:tabs>
                <w:tab w:val="left" w:pos="336"/>
              </w:tabs>
              <w:spacing w:line="240" w:lineRule="auto"/>
              <w:ind w:right="113"/>
              <w:jc w:val="right"/>
              <w:rPr>
                <w:b/>
                <w:color w:val="FF0000"/>
                <w:spacing w:val="-2"/>
                <w:sz w:val="18"/>
                <w:szCs w:val="18"/>
              </w:rPr>
            </w:pPr>
            <w:r w:rsidRPr="00331AE2">
              <w:rPr>
                <w:b/>
                <w:color w:val="581D74" w:themeColor="accent1"/>
                <w:spacing w:val="-2"/>
                <w:sz w:val="18"/>
                <w:szCs w:val="18"/>
              </w:rPr>
              <w:t>+ 2,3 %</w:t>
            </w:r>
          </w:p>
        </w:tc>
        <w:tc>
          <w:tcPr>
            <w:tcW w:w="113" w:type="dxa"/>
          </w:tcPr>
          <w:p w:rsidR="00421480" w:rsidRPr="00FD1FEC" w:rsidRDefault="00421480" w:rsidP="009F0686">
            <w:pPr>
              <w:tabs>
                <w:tab w:val="left" w:pos="336"/>
              </w:tabs>
              <w:spacing w:line="240" w:lineRule="auto"/>
              <w:rPr>
                <w:b/>
                <w:color w:val="FF0000"/>
                <w:spacing w:val="-2"/>
                <w:sz w:val="18"/>
                <w:szCs w:val="18"/>
              </w:rPr>
            </w:pPr>
          </w:p>
        </w:tc>
        <w:tc>
          <w:tcPr>
            <w:tcW w:w="1361" w:type="dxa"/>
            <w:tcBorders>
              <w:top w:val="single" w:sz="12" w:space="0" w:color="A778AE" w:themeColor="accent2"/>
            </w:tcBorders>
            <w:shd w:val="clear" w:color="auto" w:fill="D9D9D9" w:themeFill="background1" w:themeFillShade="D9"/>
            <w:vAlign w:val="center"/>
          </w:tcPr>
          <w:p w:rsidR="00421480" w:rsidRPr="00FD1FEC" w:rsidRDefault="00421480" w:rsidP="009F0686">
            <w:pPr>
              <w:tabs>
                <w:tab w:val="left" w:pos="336"/>
              </w:tabs>
              <w:spacing w:line="240" w:lineRule="auto"/>
              <w:ind w:right="113"/>
              <w:jc w:val="right"/>
              <w:rPr>
                <w:b/>
                <w:color w:val="FF0000"/>
                <w:spacing w:val="-2"/>
                <w:sz w:val="18"/>
                <w:szCs w:val="18"/>
              </w:rPr>
            </w:pPr>
            <w:r w:rsidRPr="001967DA">
              <w:rPr>
                <w:b/>
                <w:color w:val="581D74" w:themeColor="accent1"/>
                <w:spacing w:val="-2"/>
                <w:sz w:val="18"/>
                <w:szCs w:val="18"/>
              </w:rPr>
              <w:t>1 016</w:t>
            </w:r>
          </w:p>
        </w:tc>
        <w:tc>
          <w:tcPr>
            <w:tcW w:w="1361" w:type="dxa"/>
            <w:tcBorders>
              <w:top w:val="single" w:sz="12" w:space="0" w:color="A778AE" w:themeColor="accent2"/>
            </w:tcBorders>
            <w:vAlign w:val="center"/>
          </w:tcPr>
          <w:p w:rsidR="00421480" w:rsidRPr="001967DA" w:rsidRDefault="00421480" w:rsidP="009F0686">
            <w:pPr>
              <w:tabs>
                <w:tab w:val="left" w:pos="336"/>
              </w:tabs>
              <w:spacing w:line="240" w:lineRule="auto"/>
              <w:ind w:right="113"/>
              <w:jc w:val="right"/>
              <w:rPr>
                <w:b/>
                <w:color w:val="581D74" w:themeColor="accent1"/>
                <w:spacing w:val="-2"/>
                <w:sz w:val="18"/>
                <w:szCs w:val="18"/>
              </w:rPr>
            </w:pPr>
            <w:r w:rsidRPr="001967DA">
              <w:rPr>
                <w:b/>
                <w:color w:val="581D74" w:themeColor="accent1"/>
                <w:spacing w:val="-2"/>
                <w:sz w:val="18"/>
                <w:szCs w:val="18"/>
              </w:rPr>
              <w:t>+ 15,8 %</w:t>
            </w:r>
          </w:p>
        </w:tc>
      </w:tr>
      <w:tr w:rsidR="00421480" w:rsidRPr="00A80C42" w:rsidTr="009F0686">
        <w:trPr>
          <w:trHeight w:val="340"/>
        </w:trPr>
        <w:tc>
          <w:tcPr>
            <w:tcW w:w="4139" w:type="dxa"/>
            <w:vAlign w:val="center"/>
          </w:tcPr>
          <w:p w:rsidR="00421480" w:rsidRPr="009446BF" w:rsidRDefault="00421480" w:rsidP="009F0686">
            <w:pPr>
              <w:tabs>
                <w:tab w:val="left" w:pos="336"/>
              </w:tabs>
              <w:spacing w:line="240" w:lineRule="auto"/>
              <w:ind w:left="113" w:right="113"/>
              <w:jc w:val="left"/>
              <w:rPr>
                <w:spacing w:val="-2"/>
                <w:sz w:val="18"/>
                <w:szCs w:val="18"/>
              </w:rPr>
            </w:pPr>
            <w:r>
              <w:rPr>
                <w:spacing w:val="-2"/>
                <w:sz w:val="18"/>
                <w:szCs w:val="18"/>
              </w:rPr>
              <w:t>Coefficient d’exploitation</w:t>
            </w:r>
            <w:r w:rsidRPr="00CC0E7A">
              <w:rPr>
                <w:spacing w:val="-2"/>
                <w:sz w:val="18"/>
                <w:szCs w:val="18"/>
                <w:vertAlign w:val="superscript"/>
              </w:rPr>
              <w:t>***</w:t>
            </w:r>
            <w:r w:rsidR="00CE4129">
              <w:rPr>
                <w:spacing w:val="-2"/>
                <w:sz w:val="18"/>
                <w:szCs w:val="18"/>
                <w:vertAlign w:val="superscript"/>
              </w:rPr>
              <w:t>*</w:t>
            </w:r>
          </w:p>
        </w:tc>
        <w:tc>
          <w:tcPr>
            <w:tcW w:w="1361" w:type="dxa"/>
            <w:shd w:val="clear" w:color="auto" w:fill="D9D9D9" w:themeFill="background1" w:themeFillShade="D9"/>
            <w:vAlign w:val="center"/>
          </w:tcPr>
          <w:p w:rsidR="00421480" w:rsidRPr="00331AE2" w:rsidRDefault="00421480" w:rsidP="009F0686">
            <w:pPr>
              <w:tabs>
                <w:tab w:val="left" w:pos="336"/>
              </w:tabs>
              <w:spacing w:line="240" w:lineRule="auto"/>
              <w:ind w:right="113"/>
              <w:jc w:val="right"/>
              <w:rPr>
                <w:color w:val="581D74" w:themeColor="accent1"/>
                <w:spacing w:val="-2"/>
                <w:sz w:val="18"/>
                <w:szCs w:val="18"/>
              </w:rPr>
            </w:pPr>
            <w:r w:rsidRPr="00331AE2">
              <w:rPr>
                <w:color w:val="581D74" w:themeColor="accent1"/>
                <w:spacing w:val="-2"/>
                <w:sz w:val="18"/>
                <w:szCs w:val="18"/>
              </w:rPr>
              <w:t>67,2 %</w:t>
            </w:r>
          </w:p>
        </w:tc>
        <w:tc>
          <w:tcPr>
            <w:tcW w:w="1361" w:type="dxa"/>
            <w:vAlign w:val="center"/>
          </w:tcPr>
          <w:p w:rsidR="00421480" w:rsidRPr="00FD1FEC" w:rsidRDefault="00421480" w:rsidP="009F0686">
            <w:pPr>
              <w:tabs>
                <w:tab w:val="left" w:pos="336"/>
              </w:tabs>
              <w:spacing w:line="240" w:lineRule="auto"/>
              <w:ind w:right="113"/>
              <w:jc w:val="right"/>
              <w:rPr>
                <w:color w:val="FF0000"/>
                <w:spacing w:val="-2"/>
                <w:sz w:val="18"/>
                <w:szCs w:val="18"/>
              </w:rPr>
            </w:pPr>
            <w:r w:rsidRPr="00331AE2">
              <w:rPr>
                <w:color w:val="581D74" w:themeColor="accent1"/>
                <w:spacing w:val="-2"/>
                <w:sz w:val="18"/>
                <w:szCs w:val="18"/>
              </w:rPr>
              <w:t>-1,1 pt</w:t>
            </w:r>
          </w:p>
        </w:tc>
        <w:tc>
          <w:tcPr>
            <w:tcW w:w="113" w:type="dxa"/>
          </w:tcPr>
          <w:p w:rsidR="00421480" w:rsidRPr="00FD1FEC" w:rsidRDefault="00421480" w:rsidP="009F0686">
            <w:pPr>
              <w:tabs>
                <w:tab w:val="left" w:pos="336"/>
              </w:tabs>
              <w:spacing w:line="240" w:lineRule="auto"/>
              <w:rPr>
                <w:color w:val="FF0000"/>
                <w:spacing w:val="-2"/>
                <w:sz w:val="18"/>
                <w:szCs w:val="18"/>
              </w:rPr>
            </w:pPr>
          </w:p>
        </w:tc>
        <w:tc>
          <w:tcPr>
            <w:tcW w:w="1361" w:type="dxa"/>
            <w:shd w:val="clear" w:color="auto" w:fill="D9D9D9" w:themeFill="background1" w:themeFillShade="D9"/>
            <w:vAlign w:val="center"/>
          </w:tcPr>
          <w:p w:rsidR="00421480" w:rsidRPr="00FD1FEC" w:rsidRDefault="00421480" w:rsidP="009F0686">
            <w:pPr>
              <w:tabs>
                <w:tab w:val="left" w:pos="336"/>
              </w:tabs>
              <w:spacing w:line="240" w:lineRule="auto"/>
              <w:ind w:right="113"/>
              <w:jc w:val="right"/>
              <w:rPr>
                <w:color w:val="FF0000"/>
                <w:spacing w:val="-2"/>
                <w:sz w:val="18"/>
                <w:szCs w:val="18"/>
              </w:rPr>
            </w:pPr>
            <w:r w:rsidRPr="001967DA">
              <w:rPr>
                <w:color w:val="581D74" w:themeColor="accent1"/>
                <w:spacing w:val="-2"/>
                <w:sz w:val="18"/>
                <w:szCs w:val="18"/>
              </w:rPr>
              <w:t>63,5 %</w:t>
            </w:r>
          </w:p>
        </w:tc>
        <w:tc>
          <w:tcPr>
            <w:tcW w:w="1361" w:type="dxa"/>
            <w:vAlign w:val="center"/>
          </w:tcPr>
          <w:p w:rsidR="00421480" w:rsidRPr="00FD1FEC" w:rsidRDefault="00421480" w:rsidP="009F0686">
            <w:pPr>
              <w:tabs>
                <w:tab w:val="left" w:pos="336"/>
              </w:tabs>
              <w:spacing w:line="240" w:lineRule="auto"/>
              <w:ind w:right="113"/>
              <w:jc w:val="right"/>
              <w:rPr>
                <w:color w:val="FF0000"/>
                <w:spacing w:val="-2"/>
                <w:sz w:val="18"/>
                <w:szCs w:val="18"/>
              </w:rPr>
            </w:pPr>
            <w:r w:rsidRPr="001967DA">
              <w:rPr>
                <w:color w:val="581D74" w:themeColor="accent1"/>
                <w:spacing w:val="-2"/>
                <w:sz w:val="18"/>
                <w:szCs w:val="18"/>
              </w:rPr>
              <w:t>-1,7 pt</w:t>
            </w:r>
          </w:p>
        </w:tc>
      </w:tr>
      <w:tr w:rsidR="00421480" w:rsidRPr="00811ECB" w:rsidTr="009F0686">
        <w:trPr>
          <w:trHeight w:val="340"/>
        </w:trPr>
        <w:tc>
          <w:tcPr>
            <w:tcW w:w="4139" w:type="dxa"/>
            <w:tcBorders>
              <w:bottom w:val="single" w:sz="12" w:space="0" w:color="A778AE" w:themeColor="accent2"/>
            </w:tcBorders>
            <w:vAlign w:val="center"/>
          </w:tcPr>
          <w:p w:rsidR="00421480" w:rsidRPr="00811ECB" w:rsidRDefault="00421480" w:rsidP="009F0686">
            <w:pPr>
              <w:tabs>
                <w:tab w:val="left" w:pos="336"/>
              </w:tabs>
              <w:spacing w:line="240" w:lineRule="auto"/>
              <w:ind w:left="113" w:right="113"/>
              <w:jc w:val="left"/>
              <w:rPr>
                <w:spacing w:val="-2"/>
                <w:sz w:val="18"/>
                <w:szCs w:val="18"/>
              </w:rPr>
            </w:pPr>
            <w:r w:rsidRPr="00811ECB">
              <w:rPr>
                <w:spacing w:val="-2"/>
                <w:sz w:val="18"/>
                <w:szCs w:val="18"/>
              </w:rPr>
              <w:t>ROE</w:t>
            </w:r>
            <w:r w:rsidRPr="00A25990">
              <w:rPr>
                <w:spacing w:val="-2"/>
                <w:sz w:val="18"/>
                <w:szCs w:val="18"/>
                <w:vertAlign w:val="superscript"/>
              </w:rPr>
              <w:t>***</w:t>
            </w:r>
            <w:r w:rsidR="00CE4129">
              <w:rPr>
                <w:spacing w:val="-2"/>
                <w:sz w:val="18"/>
                <w:szCs w:val="18"/>
                <w:vertAlign w:val="superscript"/>
              </w:rPr>
              <w:t>*</w:t>
            </w:r>
          </w:p>
        </w:tc>
        <w:tc>
          <w:tcPr>
            <w:tcW w:w="1361" w:type="dxa"/>
            <w:tcBorders>
              <w:bottom w:val="single" w:sz="12" w:space="0" w:color="A778AE" w:themeColor="accent2"/>
            </w:tcBorders>
            <w:shd w:val="clear" w:color="auto" w:fill="D9D9D9" w:themeFill="background1" w:themeFillShade="D9"/>
            <w:vAlign w:val="center"/>
          </w:tcPr>
          <w:p w:rsidR="00421480" w:rsidRPr="00331AE2" w:rsidRDefault="00F4096E" w:rsidP="009F0686">
            <w:pPr>
              <w:tabs>
                <w:tab w:val="left" w:pos="336"/>
              </w:tabs>
              <w:spacing w:line="240" w:lineRule="auto"/>
              <w:ind w:right="113"/>
              <w:jc w:val="right"/>
              <w:rPr>
                <w:color w:val="581D74" w:themeColor="accent1"/>
                <w:spacing w:val="-2"/>
                <w:sz w:val="18"/>
                <w:szCs w:val="18"/>
              </w:rPr>
            </w:pPr>
            <w:r>
              <w:rPr>
                <w:color w:val="581D74" w:themeColor="accent1"/>
                <w:spacing w:val="-2"/>
                <w:sz w:val="18"/>
                <w:szCs w:val="18"/>
              </w:rPr>
              <w:t>6,2 %</w:t>
            </w:r>
          </w:p>
        </w:tc>
        <w:tc>
          <w:tcPr>
            <w:tcW w:w="1361" w:type="dxa"/>
            <w:tcBorders>
              <w:bottom w:val="single" w:sz="12" w:space="0" w:color="A778AE" w:themeColor="accent2"/>
            </w:tcBorders>
            <w:vAlign w:val="center"/>
          </w:tcPr>
          <w:p w:rsidR="00421480" w:rsidRPr="00F4096E" w:rsidRDefault="00F4096E" w:rsidP="009F0686">
            <w:pPr>
              <w:tabs>
                <w:tab w:val="left" w:pos="336"/>
              </w:tabs>
              <w:spacing w:line="240" w:lineRule="auto"/>
              <w:ind w:right="113"/>
              <w:jc w:val="right"/>
              <w:rPr>
                <w:color w:val="581D74" w:themeColor="accent1"/>
                <w:spacing w:val="-2"/>
                <w:sz w:val="18"/>
                <w:szCs w:val="18"/>
              </w:rPr>
            </w:pPr>
            <w:r w:rsidRPr="00F4096E">
              <w:rPr>
                <w:color w:val="581D74" w:themeColor="accent1"/>
                <w:spacing w:val="-2"/>
                <w:sz w:val="18"/>
                <w:szCs w:val="18"/>
              </w:rPr>
              <w:t>-</w:t>
            </w:r>
            <w:r w:rsidR="00034807">
              <w:rPr>
                <w:color w:val="581D74" w:themeColor="accent1"/>
                <w:spacing w:val="-2"/>
                <w:sz w:val="18"/>
                <w:szCs w:val="18"/>
              </w:rPr>
              <w:t xml:space="preserve"> </w:t>
            </w:r>
            <w:r w:rsidRPr="00F4096E">
              <w:rPr>
                <w:color w:val="581D74" w:themeColor="accent1"/>
                <w:spacing w:val="-2"/>
                <w:sz w:val="18"/>
                <w:szCs w:val="18"/>
              </w:rPr>
              <w:t>0,1 pt</w:t>
            </w:r>
          </w:p>
        </w:tc>
        <w:tc>
          <w:tcPr>
            <w:tcW w:w="113" w:type="dxa"/>
          </w:tcPr>
          <w:p w:rsidR="00421480" w:rsidRPr="00F4096E" w:rsidRDefault="00421480" w:rsidP="009F0686">
            <w:pPr>
              <w:tabs>
                <w:tab w:val="left" w:pos="336"/>
              </w:tabs>
              <w:spacing w:line="240" w:lineRule="auto"/>
              <w:rPr>
                <w:color w:val="581D74" w:themeColor="accent1"/>
                <w:spacing w:val="-2"/>
                <w:sz w:val="18"/>
                <w:szCs w:val="18"/>
              </w:rPr>
            </w:pPr>
          </w:p>
        </w:tc>
        <w:tc>
          <w:tcPr>
            <w:tcW w:w="1361" w:type="dxa"/>
            <w:tcBorders>
              <w:bottom w:val="single" w:sz="12" w:space="0" w:color="A778AE" w:themeColor="accent2"/>
            </w:tcBorders>
            <w:shd w:val="clear" w:color="auto" w:fill="D9D9D9" w:themeFill="background1" w:themeFillShade="D9"/>
            <w:vAlign w:val="center"/>
          </w:tcPr>
          <w:p w:rsidR="00421480" w:rsidRPr="00F4096E" w:rsidRDefault="00F4096E" w:rsidP="009F0686">
            <w:pPr>
              <w:tabs>
                <w:tab w:val="left" w:pos="336"/>
              </w:tabs>
              <w:spacing w:line="240" w:lineRule="auto"/>
              <w:ind w:right="113"/>
              <w:jc w:val="right"/>
              <w:rPr>
                <w:color w:val="581D74" w:themeColor="accent1"/>
                <w:spacing w:val="-2"/>
                <w:sz w:val="18"/>
                <w:szCs w:val="18"/>
              </w:rPr>
            </w:pPr>
            <w:r w:rsidRPr="00F4096E">
              <w:rPr>
                <w:color w:val="581D74" w:themeColor="accent1"/>
                <w:spacing w:val="-2"/>
                <w:sz w:val="18"/>
                <w:szCs w:val="18"/>
              </w:rPr>
              <w:t>11 %</w:t>
            </w:r>
          </w:p>
        </w:tc>
        <w:tc>
          <w:tcPr>
            <w:tcW w:w="1361" w:type="dxa"/>
            <w:tcBorders>
              <w:bottom w:val="single" w:sz="12" w:space="0" w:color="A778AE" w:themeColor="accent2"/>
            </w:tcBorders>
            <w:vAlign w:val="center"/>
          </w:tcPr>
          <w:p w:rsidR="00421480" w:rsidRPr="00F4096E" w:rsidRDefault="00034807" w:rsidP="009F0686">
            <w:pPr>
              <w:tabs>
                <w:tab w:val="left" w:pos="336"/>
              </w:tabs>
              <w:spacing w:line="240" w:lineRule="auto"/>
              <w:ind w:right="113"/>
              <w:jc w:val="right"/>
              <w:rPr>
                <w:color w:val="581D74" w:themeColor="accent1"/>
                <w:spacing w:val="-2"/>
                <w:sz w:val="18"/>
                <w:szCs w:val="18"/>
              </w:rPr>
            </w:pPr>
            <w:r>
              <w:rPr>
                <w:color w:val="581D74" w:themeColor="accent1"/>
                <w:spacing w:val="-2"/>
                <w:sz w:val="18"/>
                <w:szCs w:val="18"/>
              </w:rPr>
              <w:t xml:space="preserve">+ </w:t>
            </w:r>
            <w:r w:rsidR="00F4096E" w:rsidRPr="00F4096E">
              <w:rPr>
                <w:color w:val="581D74" w:themeColor="accent1"/>
                <w:spacing w:val="-2"/>
                <w:sz w:val="18"/>
                <w:szCs w:val="18"/>
              </w:rPr>
              <w:t>2 pts</w:t>
            </w:r>
          </w:p>
        </w:tc>
      </w:tr>
      <w:tr w:rsidR="00421480" w:rsidRPr="00A80C42" w:rsidTr="009F0686">
        <w:trPr>
          <w:trHeight w:val="227"/>
        </w:trPr>
        <w:tc>
          <w:tcPr>
            <w:tcW w:w="4139" w:type="dxa"/>
            <w:tcBorders>
              <w:top w:val="single" w:sz="12" w:space="0" w:color="A778AE" w:themeColor="accent2"/>
            </w:tcBorders>
            <w:vAlign w:val="center"/>
          </w:tcPr>
          <w:p w:rsidR="00421480" w:rsidRPr="00A97BEA" w:rsidRDefault="00421480" w:rsidP="009F0686">
            <w:pPr>
              <w:tabs>
                <w:tab w:val="left" w:pos="336"/>
              </w:tabs>
              <w:spacing w:line="240" w:lineRule="auto"/>
              <w:ind w:left="113" w:right="113"/>
              <w:jc w:val="left"/>
              <w:rPr>
                <w:color w:val="581D74" w:themeColor="accent1"/>
                <w:spacing w:val="-2"/>
                <w:sz w:val="16"/>
                <w:szCs w:val="16"/>
              </w:rPr>
            </w:pPr>
          </w:p>
        </w:tc>
        <w:tc>
          <w:tcPr>
            <w:tcW w:w="1361" w:type="dxa"/>
            <w:tcBorders>
              <w:top w:val="single" w:sz="12" w:space="0" w:color="A778AE" w:themeColor="accent2"/>
            </w:tcBorders>
            <w:shd w:val="clear" w:color="auto" w:fill="D9D9D9" w:themeFill="background1" w:themeFillShade="D9"/>
            <w:vAlign w:val="center"/>
          </w:tcPr>
          <w:p w:rsidR="00421480" w:rsidRPr="00331AE2" w:rsidRDefault="00421480" w:rsidP="009F0686">
            <w:pPr>
              <w:tabs>
                <w:tab w:val="left" w:pos="336"/>
              </w:tabs>
              <w:spacing w:line="240" w:lineRule="auto"/>
              <w:ind w:right="113"/>
              <w:jc w:val="right"/>
              <w:rPr>
                <w:color w:val="581D74" w:themeColor="accent1"/>
                <w:spacing w:val="-2"/>
                <w:sz w:val="16"/>
                <w:szCs w:val="16"/>
              </w:rPr>
            </w:pPr>
          </w:p>
        </w:tc>
        <w:tc>
          <w:tcPr>
            <w:tcW w:w="1361" w:type="dxa"/>
            <w:tcBorders>
              <w:top w:val="single" w:sz="12" w:space="0" w:color="A778AE" w:themeColor="accent2"/>
            </w:tcBorders>
            <w:vAlign w:val="center"/>
          </w:tcPr>
          <w:p w:rsidR="00421480" w:rsidRPr="00FD1FEC" w:rsidRDefault="00421480" w:rsidP="009F0686">
            <w:pPr>
              <w:tabs>
                <w:tab w:val="left" w:pos="336"/>
              </w:tabs>
              <w:spacing w:line="240" w:lineRule="auto"/>
              <w:ind w:right="113"/>
              <w:jc w:val="right"/>
              <w:rPr>
                <w:color w:val="FF0000"/>
                <w:spacing w:val="-2"/>
                <w:sz w:val="16"/>
                <w:szCs w:val="16"/>
              </w:rPr>
            </w:pPr>
          </w:p>
        </w:tc>
        <w:tc>
          <w:tcPr>
            <w:tcW w:w="113" w:type="dxa"/>
          </w:tcPr>
          <w:p w:rsidR="00421480" w:rsidRPr="00FD1FEC" w:rsidRDefault="00421480" w:rsidP="009F0686">
            <w:pPr>
              <w:tabs>
                <w:tab w:val="left" w:pos="336"/>
              </w:tabs>
              <w:spacing w:line="240" w:lineRule="auto"/>
              <w:rPr>
                <w:color w:val="FF0000"/>
                <w:spacing w:val="-2"/>
                <w:sz w:val="16"/>
                <w:szCs w:val="16"/>
              </w:rPr>
            </w:pPr>
          </w:p>
        </w:tc>
        <w:tc>
          <w:tcPr>
            <w:tcW w:w="1361" w:type="dxa"/>
            <w:tcBorders>
              <w:top w:val="single" w:sz="12" w:space="0" w:color="A778AE" w:themeColor="accent2"/>
            </w:tcBorders>
            <w:shd w:val="clear" w:color="auto" w:fill="D9D9D9" w:themeFill="background1" w:themeFillShade="D9"/>
            <w:vAlign w:val="center"/>
          </w:tcPr>
          <w:p w:rsidR="00421480" w:rsidRPr="00FD1FEC" w:rsidRDefault="00421480" w:rsidP="009F0686">
            <w:pPr>
              <w:tabs>
                <w:tab w:val="left" w:pos="336"/>
              </w:tabs>
              <w:spacing w:line="240" w:lineRule="auto"/>
              <w:ind w:right="113"/>
              <w:jc w:val="right"/>
              <w:rPr>
                <w:color w:val="FF0000"/>
                <w:spacing w:val="-2"/>
                <w:sz w:val="16"/>
                <w:szCs w:val="16"/>
              </w:rPr>
            </w:pPr>
          </w:p>
        </w:tc>
        <w:tc>
          <w:tcPr>
            <w:tcW w:w="1361" w:type="dxa"/>
            <w:tcBorders>
              <w:top w:val="single" w:sz="12" w:space="0" w:color="A778AE" w:themeColor="accent2"/>
            </w:tcBorders>
            <w:vAlign w:val="center"/>
          </w:tcPr>
          <w:p w:rsidR="00421480" w:rsidRPr="00FD1FEC" w:rsidRDefault="00421480" w:rsidP="009F0686">
            <w:pPr>
              <w:tabs>
                <w:tab w:val="left" w:pos="336"/>
              </w:tabs>
              <w:spacing w:line="240" w:lineRule="auto"/>
              <w:ind w:right="113"/>
              <w:jc w:val="right"/>
              <w:rPr>
                <w:color w:val="FF0000"/>
                <w:spacing w:val="-2"/>
                <w:sz w:val="16"/>
                <w:szCs w:val="16"/>
              </w:rPr>
            </w:pPr>
          </w:p>
        </w:tc>
      </w:tr>
      <w:tr w:rsidR="00421480" w:rsidRPr="00A80C42" w:rsidTr="009F0686">
        <w:trPr>
          <w:trHeight w:val="397"/>
        </w:trPr>
        <w:tc>
          <w:tcPr>
            <w:tcW w:w="4139" w:type="dxa"/>
            <w:vAlign w:val="center"/>
          </w:tcPr>
          <w:p w:rsidR="00421480" w:rsidRPr="00D53FD6" w:rsidRDefault="00421480" w:rsidP="008907D1">
            <w:pPr>
              <w:tabs>
                <w:tab w:val="left" w:pos="336"/>
              </w:tabs>
              <w:spacing w:line="180" w:lineRule="exact"/>
              <w:ind w:left="113" w:right="113"/>
              <w:jc w:val="left"/>
              <w:rPr>
                <w:color w:val="581D74" w:themeColor="accent1"/>
                <w:spacing w:val="-2"/>
                <w:sz w:val="16"/>
                <w:szCs w:val="16"/>
              </w:rPr>
            </w:pPr>
            <w:r w:rsidRPr="00D53FD6">
              <w:rPr>
                <w:color w:val="581D74" w:themeColor="accent1"/>
                <w:spacing w:val="-2"/>
                <w:sz w:val="16"/>
                <w:szCs w:val="16"/>
              </w:rPr>
              <w:t xml:space="preserve">Impact en résultat net </w:t>
            </w:r>
            <w:r>
              <w:rPr>
                <w:color w:val="581D74" w:themeColor="accent1"/>
                <w:spacing w:val="-2"/>
                <w:sz w:val="16"/>
                <w:szCs w:val="16"/>
              </w:rPr>
              <w:t>des éléments</w:t>
            </w:r>
            <w:r w:rsidR="008907D1">
              <w:rPr>
                <w:color w:val="581D74" w:themeColor="accent1"/>
                <w:spacing w:val="-2"/>
                <w:sz w:val="16"/>
                <w:szCs w:val="16"/>
              </w:rPr>
              <w:t xml:space="preserve"> non économiques et </w:t>
            </w:r>
            <w:r>
              <w:rPr>
                <w:color w:val="581D74" w:themeColor="accent1"/>
                <w:spacing w:val="-2"/>
                <w:sz w:val="16"/>
                <w:szCs w:val="16"/>
              </w:rPr>
              <w:t>exceptionnels</w:t>
            </w:r>
          </w:p>
        </w:tc>
        <w:tc>
          <w:tcPr>
            <w:tcW w:w="1361" w:type="dxa"/>
            <w:shd w:val="clear" w:color="auto" w:fill="D9D9D9" w:themeFill="background1" w:themeFillShade="D9"/>
            <w:vAlign w:val="center"/>
          </w:tcPr>
          <w:p w:rsidR="00421480" w:rsidRPr="00331AE2" w:rsidRDefault="00421480" w:rsidP="009F0686">
            <w:pPr>
              <w:tabs>
                <w:tab w:val="left" w:pos="336"/>
              </w:tabs>
              <w:spacing w:line="240" w:lineRule="auto"/>
              <w:ind w:right="113"/>
              <w:jc w:val="right"/>
              <w:rPr>
                <w:color w:val="581D74" w:themeColor="accent1"/>
                <w:spacing w:val="-2"/>
                <w:sz w:val="16"/>
                <w:szCs w:val="16"/>
              </w:rPr>
            </w:pPr>
            <w:r w:rsidRPr="00331AE2">
              <w:rPr>
                <w:color w:val="581D74" w:themeColor="accent1"/>
                <w:spacing w:val="-2"/>
                <w:sz w:val="16"/>
                <w:szCs w:val="16"/>
              </w:rPr>
              <w:t>167</w:t>
            </w:r>
          </w:p>
        </w:tc>
        <w:tc>
          <w:tcPr>
            <w:tcW w:w="1361" w:type="dxa"/>
            <w:vAlign w:val="center"/>
          </w:tcPr>
          <w:p w:rsidR="00421480" w:rsidRPr="00FD1FEC" w:rsidRDefault="00421480" w:rsidP="009F0686">
            <w:pPr>
              <w:tabs>
                <w:tab w:val="left" w:pos="336"/>
              </w:tabs>
              <w:spacing w:line="240" w:lineRule="auto"/>
              <w:ind w:right="113"/>
              <w:jc w:val="right"/>
              <w:rPr>
                <w:color w:val="FF0000"/>
                <w:spacing w:val="-2"/>
                <w:sz w:val="16"/>
                <w:szCs w:val="16"/>
              </w:rPr>
            </w:pPr>
          </w:p>
        </w:tc>
        <w:tc>
          <w:tcPr>
            <w:tcW w:w="113" w:type="dxa"/>
          </w:tcPr>
          <w:p w:rsidR="00421480" w:rsidRPr="00FD1FEC" w:rsidRDefault="00421480" w:rsidP="009F0686">
            <w:pPr>
              <w:tabs>
                <w:tab w:val="left" w:pos="336"/>
              </w:tabs>
              <w:spacing w:line="240" w:lineRule="auto"/>
              <w:rPr>
                <w:color w:val="FF0000"/>
                <w:spacing w:val="-2"/>
                <w:sz w:val="16"/>
                <w:szCs w:val="16"/>
              </w:rPr>
            </w:pPr>
          </w:p>
        </w:tc>
        <w:tc>
          <w:tcPr>
            <w:tcW w:w="1361" w:type="dxa"/>
            <w:shd w:val="clear" w:color="auto" w:fill="D9D9D9" w:themeFill="background1" w:themeFillShade="D9"/>
            <w:vAlign w:val="center"/>
          </w:tcPr>
          <w:p w:rsidR="00421480" w:rsidRPr="00FD1FEC" w:rsidRDefault="00421480" w:rsidP="009F0686">
            <w:pPr>
              <w:tabs>
                <w:tab w:val="left" w:pos="336"/>
              </w:tabs>
              <w:spacing w:line="240" w:lineRule="auto"/>
              <w:ind w:right="113"/>
              <w:jc w:val="right"/>
              <w:rPr>
                <w:color w:val="FF0000"/>
                <w:spacing w:val="-2"/>
                <w:sz w:val="16"/>
                <w:szCs w:val="16"/>
              </w:rPr>
            </w:pPr>
          </w:p>
        </w:tc>
        <w:tc>
          <w:tcPr>
            <w:tcW w:w="1361" w:type="dxa"/>
            <w:vAlign w:val="center"/>
          </w:tcPr>
          <w:p w:rsidR="00421480" w:rsidRPr="00FD1FEC" w:rsidRDefault="00421480" w:rsidP="009F0686">
            <w:pPr>
              <w:tabs>
                <w:tab w:val="left" w:pos="336"/>
              </w:tabs>
              <w:spacing w:line="240" w:lineRule="auto"/>
              <w:ind w:right="113"/>
              <w:jc w:val="right"/>
              <w:rPr>
                <w:color w:val="FF0000"/>
                <w:spacing w:val="-2"/>
                <w:sz w:val="16"/>
                <w:szCs w:val="16"/>
              </w:rPr>
            </w:pPr>
          </w:p>
        </w:tc>
      </w:tr>
      <w:tr w:rsidR="00421480" w:rsidRPr="00A80C42" w:rsidTr="009F0686">
        <w:trPr>
          <w:trHeight w:val="283"/>
        </w:trPr>
        <w:tc>
          <w:tcPr>
            <w:tcW w:w="4139" w:type="dxa"/>
            <w:tcBorders>
              <w:bottom w:val="single" w:sz="12" w:space="0" w:color="A778AE" w:themeColor="accent2"/>
            </w:tcBorders>
            <w:vAlign w:val="center"/>
          </w:tcPr>
          <w:p w:rsidR="00421480" w:rsidRPr="006A27E4" w:rsidRDefault="00421480" w:rsidP="009F0686">
            <w:pPr>
              <w:tabs>
                <w:tab w:val="left" w:pos="336"/>
              </w:tabs>
              <w:spacing w:line="240" w:lineRule="auto"/>
              <w:ind w:left="113" w:right="113"/>
              <w:jc w:val="left"/>
              <w:rPr>
                <w:color w:val="581D74" w:themeColor="accent1"/>
                <w:spacing w:val="-4"/>
                <w:sz w:val="16"/>
                <w:szCs w:val="16"/>
              </w:rPr>
            </w:pPr>
            <w:r w:rsidRPr="006A27E4">
              <w:rPr>
                <w:color w:val="581D74" w:themeColor="accent1"/>
                <w:spacing w:val="-4"/>
                <w:sz w:val="16"/>
                <w:szCs w:val="16"/>
              </w:rPr>
              <w:t>Réintégration de l’impact IFRIC 21 en résultat net</w:t>
            </w:r>
          </w:p>
        </w:tc>
        <w:tc>
          <w:tcPr>
            <w:tcW w:w="1361" w:type="dxa"/>
            <w:tcBorders>
              <w:bottom w:val="single" w:sz="12" w:space="0" w:color="A778AE" w:themeColor="accent2"/>
            </w:tcBorders>
            <w:shd w:val="clear" w:color="auto" w:fill="D9D9D9" w:themeFill="background1" w:themeFillShade="D9"/>
            <w:vAlign w:val="center"/>
          </w:tcPr>
          <w:p w:rsidR="00421480" w:rsidRPr="00331AE2" w:rsidRDefault="00421480" w:rsidP="009F0686">
            <w:pPr>
              <w:tabs>
                <w:tab w:val="left" w:pos="336"/>
              </w:tabs>
              <w:spacing w:line="240" w:lineRule="auto"/>
              <w:ind w:right="113"/>
              <w:jc w:val="right"/>
              <w:rPr>
                <w:color w:val="581D74" w:themeColor="accent1"/>
                <w:spacing w:val="-2"/>
                <w:sz w:val="16"/>
                <w:szCs w:val="16"/>
              </w:rPr>
            </w:pPr>
            <w:r w:rsidRPr="00331AE2">
              <w:rPr>
                <w:color w:val="581D74" w:themeColor="accent1"/>
                <w:spacing w:val="-2"/>
                <w:sz w:val="16"/>
                <w:szCs w:val="16"/>
              </w:rPr>
              <w:t>45</w:t>
            </w:r>
          </w:p>
        </w:tc>
        <w:tc>
          <w:tcPr>
            <w:tcW w:w="1361" w:type="dxa"/>
            <w:tcBorders>
              <w:bottom w:val="single" w:sz="12" w:space="0" w:color="A778AE" w:themeColor="accent2"/>
            </w:tcBorders>
            <w:vAlign w:val="center"/>
          </w:tcPr>
          <w:p w:rsidR="00421480" w:rsidRPr="00FD1FEC" w:rsidRDefault="00421480" w:rsidP="009F0686">
            <w:pPr>
              <w:tabs>
                <w:tab w:val="left" w:pos="336"/>
              </w:tabs>
              <w:spacing w:line="240" w:lineRule="auto"/>
              <w:ind w:right="113"/>
              <w:jc w:val="right"/>
              <w:rPr>
                <w:color w:val="FF0000"/>
                <w:spacing w:val="-2"/>
                <w:sz w:val="16"/>
                <w:szCs w:val="16"/>
              </w:rPr>
            </w:pPr>
          </w:p>
        </w:tc>
        <w:tc>
          <w:tcPr>
            <w:tcW w:w="113" w:type="dxa"/>
          </w:tcPr>
          <w:p w:rsidR="00421480" w:rsidRPr="00FD1FEC" w:rsidRDefault="00421480" w:rsidP="009F0686">
            <w:pPr>
              <w:tabs>
                <w:tab w:val="left" w:pos="336"/>
              </w:tabs>
              <w:spacing w:line="240" w:lineRule="auto"/>
              <w:rPr>
                <w:color w:val="FF0000"/>
                <w:spacing w:val="-2"/>
                <w:sz w:val="16"/>
                <w:szCs w:val="16"/>
              </w:rPr>
            </w:pPr>
          </w:p>
        </w:tc>
        <w:tc>
          <w:tcPr>
            <w:tcW w:w="1361" w:type="dxa"/>
            <w:tcBorders>
              <w:bottom w:val="single" w:sz="12" w:space="0" w:color="A778AE" w:themeColor="accent2"/>
            </w:tcBorders>
            <w:shd w:val="clear" w:color="auto" w:fill="D9D9D9" w:themeFill="background1" w:themeFillShade="D9"/>
            <w:vAlign w:val="center"/>
          </w:tcPr>
          <w:p w:rsidR="00421480" w:rsidRPr="00FD1FEC" w:rsidRDefault="00421480" w:rsidP="009F0686">
            <w:pPr>
              <w:tabs>
                <w:tab w:val="left" w:pos="336"/>
              </w:tabs>
              <w:spacing w:line="240" w:lineRule="auto"/>
              <w:ind w:right="113"/>
              <w:jc w:val="right"/>
              <w:rPr>
                <w:color w:val="FF0000"/>
                <w:spacing w:val="-2"/>
                <w:sz w:val="16"/>
                <w:szCs w:val="16"/>
              </w:rPr>
            </w:pPr>
            <w:r w:rsidRPr="001967DA">
              <w:rPr>
                <w:color w:val="581D74" w:themeColor="accent1"/>
                <w:spacing w:val="-2"/>
                <w:sz w:val="16"/>
                <w:szCs w:val="16"/>
              </w:rPr>
              <w:t>42</w:t>
            </w:r>
          </w:p>
        </w:tc>
        <w:tc>
          <w:tcPr>
            <w:tcW w:w="1361" w:type="dxa"/>
            <w:tcBorders>
              <w:bottom w:val="single" w:sz="12" w:space="0" w:color="A778AE" w:themeColor="accent2"/>
            </w:tcBorders>
            <w:vAlign w:val="center"/>
          </w:tcPr>
          <w:p w:rsidR="00421480" w:rsidRPr="00FD1FEC" w:rsidRDefault="00421480" w:rsidP="009F0686">
            <w:pPr>
              <w:tabs>
                <w:tab w:val="left" w:pos="336"/>
              </w:tabs>
              <w:spacing w:line="240" w:lineRule="auto"/>
              <w:ind w:right="113"/>
              <w:jc w:val="right"/>
              <w:rPr>
                <w:color w:val="FF0000"/>
                <w:spacing w:val="-2"/>
                <w:sz w:val="16"/>
                <w:szCs w:val="16"/>
              </w:rPr>
            </w:pPr>
          </w:p>
        </w:tc>
      </w:tr>
      <w:tr w:rsidR="00421480" w:rsidRPr="00A80C42" w:rsidTr="009F0686">
        <w:trPr>
          <w:trHeight w:val="510"/>
        </w:trPr>
        <w:tc>
          <w:tcPr>
            <w:tcW w:w="4139" w:type="dxa"/>
            <w:tcBorders>
              <w:top w:val="single" w:sz="12" w:space="0" w:color="A778AE" w:themeColor="accent2"/>
              <w:bottom w:val="single" w:sz="12" w:space="0" w:color="A778AE" w:themeColor="accent2"/>
            </w:tcBorders>
            <w:vAlign w:val="center"/>
          </w:tcPr>
          <w:p w:rsidR="00421480" w:rsidRPr="00AA12BF" w:rsidRDefault="00421480" w:rsidP="009F0686">
            <w:pPr>
              <w:tabs>
                <w:tab w:val="left" w:pos="336"/>
              </w:tabs>
              <w:spacing w:line="240" w:lineRule="auto"/>
              <w:ind w:left="113" w:right="113"/>
              <w:jc w:val="left"/>
              <w:rPr>
                <w:b/>
                <w:spacing w:val="-2"/>
                <w:sz w:val="18"/>
                <w:szCs w:val="18"/>
              </w:rPr>
            </w:pPr>
            <w:r w:rsidRPr="00AA12BF">
              <w:rPr>
                <w:b/>
                <w:spacing w:val="-2"/>
                <w:sz w:val="18"/>
                <w:szCs w:val="18"/>
              </w:rPr>
              <w:t xml:space="preserve">Résultat net </w:t>
            </w:r>
            <w:r>
              <w:rPr>
                <w:b/>
                <w:spacing w:val="-2"/>
                <w:sz w:val="18"/>
                <w:szCs w:val="18"/>
              </w:rPr>
              <w:t>publié</w:t>
            </w:r>
          </w:p>
        </w:tc>
        <w:tc>
          <w:tcPr>
            <w:tcW w:w="1361" w:type="dxa"/>
            <w:tcBorders>
              <w:top w:val="single" w:sz="12" w:space="0" w:color="A778AE" w:themeColor="accent2"/>
              <w:bottom w:val="single" w:sz="12" w:space="0" w:color="A778AE" w:themeColor="accent2"/>
            </w:tcBorders>
            <w:shd w:val="clear" w:color="auto" w:fill="D9D9D9" w:themeFill="background1" w:themeFillShade="D9"/>
            <w:vAlign w:val="center"/>
          </w:tcPr>
          <w:p w:rsidR="00421480" w:rsidRPr="00FD1FEC" w:rsidRDefault="00421480" w:rsidP="009F0686">
            <w:pPr>
              <w:tabs>
                <w:tab w:val="left" w:pos="336"/>
              </w:tabs>
              <w:spacing w:line="240" w:lineRule="auto"/>
              <w:ind w:right="113"/>
              <w:jc w:val="right"/>
              <w:rPr>
                <w:b/>
                <w:color w:val="FF0000"/>
                <w:spacing w:val="-2"/>
                <w:sz w:val="18"/>
                <w:szCs w:val="18"/>
              </w:rPr>
            </w:pPr>
            <w:r w:rsidRPr="00331AE2">
              <w:rPr>
                <w:b/>
                <w:color w:val="581D74" w:themeColor="accent1"/>
                <w:spacing w:val="-2"/>
                <w:sz w:val="18"/>
                <w:szCs w:val="18"/>
              </w:rPr>
              <w:t>1 053</w:t>
            </w:r>
          </w:p>
        </w:tc>
        <w:tc>
          <w:tcPr>
            <w:tcW w:w="1361" w:type="dxa"/>
            <w:tcBorders>
              <w:top w:val="single" w:sz="12" w:space="0" w:color="A778AE" w:themeColor="accent2"/>
              <w:bottom w:val="single" w:sz="12" w:space="0" w:color="A778AE" w:themeColor="accent2"/>
            </w:tcBorders>
            <w:vAlign w:val="center"/>
          </w:tcPr>
          <w:p w:rsidR="00421480" w:rsidRPr="00FD1FEC" w:rsidRDefault="00421480" w:rsidP="009F0686">
            <w:pPr>
              <w:tabs>
                <w:tab w:val="left" w:pos="336"/>
              </w:tabs>
              <w:spacing w:line="240" w:lineRule="auto"/>
              <w:ind w:right="113"/>
              <w:jc w:val="right"/>
              <w:rPr>
                <w:b/>
                <w:color w:val="FF0000"/>
                <w:spacing w:val="-2"/>
                <w:sz w:val="18"/>
                <w:szCs w:val="18"/>
              </w:rPr>
            </w:pPr>
            <w:r>
              <w:rPr>
                <w:b/>
                <w:color w:val="581D74" w:themeColor="accent1"/>
                <w:spacing w:val="-2"/>
                <w:sz w:val="18"/>
                <w:szCs w:val="18"/>
              </w:rPr>
              <w:t xml:space="preserve">+ </w:t>
            </w:r>
            <w:r w:rsidRPr="00331AE2">
              <w:rPr>
                <w:b/>
                <w:color w:val="581D74" w:themeColor="accent1"/>
                <w:spacing w:val="-2"/>
                <w:sz w:val="18"/>
                <w:szCs w:val="18"/>
              </w:rPr>
              <w:t>24,9 %</w:t>
            </w:r>
          </w:p>
        </w:tc>
        <w:tc>
          <w:tcPr>
            <w:tcW w:w="113" w:type="dxa"/>
          </w:tcPr>
          <w:p w:rsidR="00421480" w:rsidRPr="00FD1FEC" w:rsidRDefault="00421480" w:rsidP="009F0686">
            <w:pPr>
              <w:tabs>
                <w:tab w:val="left" w:pos="336"/>
              </w:tabs>
              <w:spacing w:line="240" w:lineRule="auto"/>
              <w:rPr>
                <w:b/>
                <w:color w:val="FF0000"/>
                <w:spacing w:val="-2"/>
                <w:sz w:val="18"/>
                <w:szCs w:val="18"/>
              </w:rPr>
            </w:pPr>
          </w:p>
        </w:tc>
        <w:tc>
          <w:tcPr>
            <w:tcW w:w="1361" w:type="dxa"/>
            <w:tcBorders>
              <w:top w:val="single" w:sz="12" w:space="0" w:color="A778AE" w:themeColor="accent2"/>
              <w:bottom w:val="single" w:sz="12" w:space="0" w:color="A778AE" w:themeColor="accent2"/>
            </w:tcBorders>
            <w:shd w:val="clear" w:color="auto" w:fill="D9D9D9" w:themeFill="background1" w:themeFillShade="D9"/>
            <w:vAlign w:val="center"/>
          </w:tcPr>
          <w:p w:rsidR="00421480" w:rsidRPr="00FD1FEC" w:rsidRDefault="00421480" w:rsidP="009F0686">
            <w:pPr>
              <w:tabs>
                <w:tab w:val="left" w:pos="336"/>
              </w:tabs>
              <w:spacing w:line="240" w:lineRule="auto"/>
              <w:ind w:right="113"/>
              <w:jc w:val="right"/>
              <w:rPr>
                <w:b/>
                <w:color w:val="FF0000"/>
                <w:spacing w:val="-2"/>
                <w:sz w:val="18"/>
                <w:szCs w:val="18"/>
              </w:rPr>
            </w:pPr>
            <w:r w:rsidRPr="001967DA">
              <w:rPr>
                <w:b/>
                <w:color w:val="581D74" w:themeColor="accent1"/>
                <w:spacing w:val="-2"/>
                <w:sz w:val="18"/>
                <w:szCs w:val="18"/>
              </w:rPr>
              <w:t>1 058</w:t>
            </w:r>
          </w:p>
        </w:tc>
        <w:tc>
          <w:tcPr>
            <w:tcW w:w="1361" w:type="dxa"/>
            <w:tcBorders>
              <w:top w:val="single" w:sz="12" w:space="0" w:color="A778AE" w:themeColor="accent2"/>
              <w:bottom w:val="single" w:sz="12" w:space="0" w:color="A778AE" w:themeColor="accent2"/>
            </w:tcBorders>
            <w:vAlign w:val="center"/>
          </w:tcPr>
          <w:p w:rsidR="00421480" w:rsidRPr="00FD1FEC" w:rsidRDefault="00421480" w:rsidP="009F0686">
            <w:pPr>
              <w:tabs>
                <w:tab w:val="left" w:pos="336"/>
              </w:tabs>
              <w:spacing w:line="240" w:lineRule="auto"/>
              <w:ind w:right="113"/>
              <w:jc w:val="right"/>
              <w:rPr>
                <w:b/>
                <w:color w:val="FF0000"/>
                <w:spacing w:val="-2"/>
                <w:sz w:val="18"/>
                <w:szCs w:val="18"/>
              </w:rPr>
            </w:pPr>
            <w:r w:rsidRPr="001967DA">
              <w:rPr>
                <w:b/>
                <w:color w:val="581D74" w:themeColor="accent1"/>
                <w:spacing w:val="-2"/>
                <w:sz w:val="18"/>
                <w:szCs w:val="18"/>
              </w:rPr>
              <w:t>+ 17,6 %</w:t>
            </w:r>
          </w:p>
        </w:tc>
      </w:tr>
    </w:tbl>
    <w:p w:rsidR="006E3737" w:rsidRDefault="006E3737" w:rsidP="006E3737">
      <w:pPr>
        <w:tabs>
          <w:tab w:val="left" w:pos="336"/>
        </w:tabs>
        <w:ind w:left="330" w:hanging="330"/>
        <w:rPr>
          <w:sz w:val="14"/>
          <w:szCs w:val="14"/>
        </w:rPr>
      </w:pPr>
    </w:p>
    <w:p w:rsidR="00421480" w:rsidRPr="00FD1FEC" w:rsidRDefault="00421480" w:rsidP="00421480">
      <w:pPr>
        <w:tabs>
          <w:tab w:val="left" w:pos="336"/>
        </w:tabs>
        <w:ind w:left="330" w:hanging="330"/>
        <w:rPr>
          <w:color w:val="FF0000"/>
          <w:sz w:val="14"/>
          <w:szCs w:val="14"/>
        </w:rPr>
      </w:pPr>
    </w:p>
    <w:p w:rsidR="00421480" w:rsidRPr="00331AE2" w:rsidRDefault="00421480" w:rsidP="00421480">
      <w:pPr>
        <w:tabs>
          <w:tab w:val="left" w:pos="336"/>
        </w:tabs>
        <w:ind w:left="330" w:hanging="330"/>
        <w:rPr>
          <w:color w:val="581D74" w:themeColor="accent1"/>
          <w:sz w:val="14"/>
          <w:szCs w:val="14"/>
        </w:rPr>
      </w:pPr>
      <w:r w:rsidRPr="00331AE2">
        <w:rPr>
          <w:color w:val="581D74" w:themeColor="accent1"/>
          <w:sz w:val="14"/>
          <w:szCs w:val="14"/>
          <w:vertAlign w:val="superscript"/>
        </w:rPr>
        <w:t>*</w:t>
      </w:r>
      <w:r w:rsidRPr="00331AE2">
        <w:rPr>
          <w:color w:val="581D74" w:themeColor="accent1"/>
          <w:sz w:val="14"/>
          <w:szCs w:val="14"/>
        </w:rPr>
        <w:tab/>
        <w:t>T2-14 pro forma, se reporter à la note méthodologique à la fin de ce communiqué de presse</w:t>
      </w:r>
    </w:p>
    <w:p w:rsidR="00421480" w:rsidRPr="00331AE2" w:rsidRDefault="00421480" w:rsidP="00421480">
      <w:pPr>
        <w:tabs>
          <w:tab w:val="left" w:pos="336"/>
        </w:tabs>
        <w:ind w:left="330" w:hanging="330"/>
        <w:rPr>
          <w:color w:val="581D74" w:themeColor="accent1"/>
          <w:sz w:val="14"/>
          <w:szCs w:val="14"/>
        </w:rPr>
      </w:pPr>
      <w:r w:rsidRPr="00331AE2">
        <w:rPr>
          <w:color w:val="581D74" w:themeColor="accent1"/>
          <w:sz w:val="14"/>
          <w:szCs w:val="14"/>
          <w:vertAlign w:val="superscript"/>
        </w:rPr>
        <w:t>**</w:t>
      </w:r>
      <w:r w:rsidRPr="00331AE2">
        <w:rPr>
          <w:color w:val="581D74" w:themeColor="accent1"/>
          <w:sz w:val="14"/>
          <w:szCs w:val="14"/>
        </w:rPr>
        <w:t xml:space="preserve"> </w:t>
      </w:r>
      <w:r w:rsidRPr="00331AE2">
        <w:rPr>
          <w:color w:val="581D74" w:themeColor="accent1"/>
          <w:sz w:val="14"/>
          <w:szCs w:val="14"/>
        </w:rPr>
        <w:tab/>
        <w:t xml:space="preserve">Les métiers cœurs sont la Banque commerciale et Assurance (avec notamment les réseaux Banque Populaire et Caisse d’Epargne </w:t>
      </w:r>
      <w:r w:rsidRPr="00331AE2">
        <w:rPr>
          <w:color w:val="581D74" w:themeColor="accent1"/>
          <w:sz w:val="14"/>
          <w:szCs w:val="14"/>
        </w:rPr>
        <w:tab/>
        <w:t xml:space="preserve">ainsi que le Crédit Foncier, la Banque Palatine et BPCE International et Outre-mer), la Banque de Grande Clientèle, l’Épargne et </w:t>
      </w:r>
      <w:r w:rsidRPr="00331AE2">
        <w:rPr>
          <w:color w:val="581D74" w:themeColor="accent1"/>
          <w:sz w:val="14"/>
          <w:szCs w:val="14"/>
        </w:rPr>
        <w:tab/>
        <w:t>les Services Financiers Spécialisés (Natixis)</w:t>
      </w:r>
      <w:r w:rsidRPr="00331AE2">
        <w:rPr>
          <w:color w:val="581D74" w:themeColor="accent1"/>
          <w:sz w:val="14"/>
          <w:szCs w:val="14"/>
        </w:rPr>
        <w:tab/>
      </w:r>
    </w:p>
    <w:p w:rsidR="00421480" w:rsidRDefault="00421480" w:rsidP="00421480">
      <w:pPr>
        <w:tabs>
          <w:tab w:val="left" w:pos="336"/>
        </w:tabs>
        <w:ind w:left="330" w:hanging="330"/>
        <w:rPr>
          <w:color w:val="581D74" w:themeColor="accent1"/>
          <w:sz w:val="14"/>
          <w:szCs w:val="14"/>
        </w:rPr>
      </w:pPr>
      <w:r w:rsidRPr="00331AE2">
        <w:rPr>
          <w:color w:val="581D74" w:themeColor="accent1"/>
          <w:sz w:val="14"/>
          <w:szCs w:val="14"/>
          <w:vertAlign w:val="superscript"/>
        </w:rPr>
        <w:t>***</w:t>
      </w:r>
      <w:r w:rsidRPr="00331AE2">
        <w:rPr>
          <w:color w:val="581D74" w:themeColor="accent1"/>
          <w:sz w:val="14"/>
          <w:szCs w:val="14"/>
          <w:vertAlign w:val="superscript"/>
        </w:rPr>
        <w:tab/>
      </w:r>
      <w:r w:rsidRPr="00331AE2">
        <w:rPr>
          <w:color w:val="581D74" w:themeColor="accent1"/>
          <w:sz w:val="14"/>
          <w:szCs w:val="14"/>
        </w:rPr>
        <w:t xml:space="preserve">Hors éléments </w:t>
      </w:r>
      <w:r w:rsidR="00CE4129">
        <w:rPr>
          <w:color w:val="581D74" w:themeColor="accent1"/>
          <w:sz w:val="14"/>
          <w:szCs w:val="14"/>
        </w:rPr>
        <w:t xml:space="preserve">non économiques et </w:t>
      </w:r>
      <w:r w:rsidRPr="00331AE2">
        <w:rPr>
          <w:color w:val="581D74" w:themeColor="accent1"/>
          <w:sz w:val="14"/>
          <w:szCs w:val="14"/>
        </w:rPr>
        <w:t xml:space="preserve">exceptionnels </w:t>
      </w:r>
    </w:p>
    <w:p w:rsidR="00CE4129" w:rsidRPr="00331AE2" w:rsidRDefault="00CE4129" w:rsidP="00421480">
      <w:pPr>
        <w:tabs>
          <w:tab w:val="left" w:pos="336"/>
        </w:tabs>
        <w:ind w:left="330" w:hanging="330"/>
        <w:rPr>
          <w:color w:val="581D74" w:themeColor="accent1"/>
          <w:sz w:val="14"/>
          <w:szCs w:val="14"/>
        </w:rPr>
      </w:pPr>
      <w:r w:rsidRPr="00CE4129">
        <w:rPr>
          <w:color w:val="581D74" w:themeColor="accent1"/>
          <w:sz w:val="14"/>
          <w:szCs w:val="14"/>
          <w:vertAlign w:val="superscript"/>
        </w:rPr>
        <w:t xml:space="preserve">**** </w:t>
      </w:r>
      <w:r>
        <w:rPr>
          <w:color w:val="581D74" w:themeColor="accent1"/>
          <w:sz w:val="14"/>
          <w:szCs w:val="14"/>
        </w:rPr>
        <w:tab/>
      </w:r>
      <w:r w:rsidRPr="00331AE2">
        <w:rPr>
          <w:color w:val="581D74" w:themeColor="accent1"/>
          <w:sz w:val="14"/>
          <w:szCs w:val="14"/>
        </w:rPr>
        <w:t xml:space="preserve">Hors éléments </w:t>
      </w:r>
      <w:r>
        <w:rPr>
          <w:color w:val="581D74" w:themeColor="accent1"/>
          <w:sz w:val="14"/>
          <w:szCs w:val="14"/>
        </w:rPr>
        <w:t xml:space="preserve">non économiques et </w:t>
      </w:r>
      <w:r w:rsidRPr="00331AE2">
        <w:rPr>
          <w:color w:val="581D74" w:themeColor="accent1"/>
          <w:sz w:val="14"/>
          <w:szCs w:val="14"/>
        </w:rPr>
        <w:t>exceptionnels</w:t>
      </w:r>
      <w:r>
        <w:rPr>
          <w:color w:val="581D74" w:themeColor="accent1"/>
          <w:sz w:val="14"/>
          <w:szCs w:val="14"/>
        </w:rPr>
        <w:t xml:space="preserve"> et hors impact IFRIC 21</w:t>
      </w:r>
    </w:p>
    <w:p w:rsidR="006E3737" w:rsidRDefault="006E3737" w:rsidP="00421480">
      <w:pPr>
        <w:tabs>
          <w:tab w:val="left" w:pos="336"/>
        </w:tabs>
        <w:ind w:left="330" w:hanging="330"/>
        <w:rPr>
          <w:color w:val="FF0000"/>
          <w:sz w:val="14"/>
          <w:szCs w:val="14"/>
        </w:rPr>
      </w:pPr>
    </w:p>
    <w:p w:rsidR="00696668" w:rsidRPr="00415E6E" w:rsidRDefault="00696668" w:rsidP="00696668">
      <w:pPr>
        <w:pStyle w:val="2-TEXTECOURANTcommuniqu"/>
      </w:pPr>
    </w:p>
    <w:p w:rsidR="00696668" w:rsidRPr="00415E6E" w:rsidRDefault="00696668" w:rsidP="00696668">
      <w:pPr>
        <w:pStyle w:val="2-TEXTECOURANTcommuniqu"/>
      </w:pPr>
      <w:r w:rsidRPr="00415E6E">
        <w:t> </w:t>
      </w:r>
    </w:p>
    <w:p w:rsidR="00C17DA4" w:rsidRDefault="00C17DA4">
      <w:pPr>
        <w:jc w:val="left"/>
        <w:rPr>
          <w:b/>
          <w:color w:val="581D74"/>
          <w:spacing w:val="-4"/>
        </w:rPr>
      </w:pPr>
      <w:r>
        <w:br w:type="page"/>
      </w:r>
    </w:p>
    <w:p w:rsidR="00C17DA4" w:rsidRDefault="00C17DA4" w:rsidP="00C17DA4">
      <w:pPr>
        <w:pStyle w:val="3-Titre1"/>
        <w:pBdr>
          <w:bottom w:val="none" w:sz="0" w:space="0" w:color="auto"/>
        </w:pBdr>
      </w:pPr>
      <w:r w:rsidRPr="0069247C">
        <w:lastRenderedPageBreak/>
        <w:t xml:space="preserve">RÉSULTATS CONSOLIDÉS </w:t>
      </w:r>
      <w:r>
        <w:t>DU PREMIER SEMESTRE 2015</w:t>
      </w:r>
      <w:r w:rsidRPr="0069247C">
        <w:t xml:space="preserve"> DU GROUPE BPCE </w:t>
      </w:r>
    </w:p>
    <w:tbl>
      <w:tblPr>
        <w:tblStyle w:val="Grilledutableau"/>
        <w:tblW w:w="969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39"/>
        <w:gridCol w:w="1361"/>
        <w:gridCol w:w="1361"/>
        <w:gridCol w:w="113"/>
        <w:gridCol w:w="1361"/>
        <w:gridCol w:w="1361"/>
      </w:tblGrid>
      <w:tr w:rsidR="00421480" w:rsidRPr="00A80C42" w:rsidTr="009F0686">
        <w:trPr>
          <w:trHeight w:val="907"/>
        </w:trPr>
        <w:tc>
          <w:tcPr>
            <w:tcW w:w="4139" w:type="dxa"/>
            <w:tcBorders>
              <w:bottom w:val="single" w:sz="24" w:space="0" w:color="A778AE" w:themeColor="accent2"/>
            </w:tcBorders>
            <w:vAlign w:val="center"/>
          </w:tcPr>
          <w:p w:rsidR="00421480" w:rsidRPr="009446BF" w:rsidRDefault="00E94639" w:rsidP="009F0686">
            <w:pPr>
              <w:tabs>
                <w:tab w:val="left" w:pos="336"/>
              </w:tabs>
              <w:spacing w:line="240" w:lineRule="auto"/>
              <w:ind w:left="113" w:right="113"/>
              <w:jc w:val="left"/>
              <w:rPr>
                <w:spacing w:val="-2"/>
                <w:sz w:val="18"/>
                <w:szCs w:val="18"/>
              </w:rPr>
            </w:pPr>
            <w:r>
              <w:rPr>
                <w:color w:val="581D74" w:themeColor="accent1"/>
                <w:spacing w:val="-2"/>
                <w:sz w:val="16"/>
                <w:szCs w:val="18"/>
              </w:rPr>
              <w:t>E</w:t>
            </w:r>
            <w:r w:rsidR="00421480">
              <w:rPr>
                <w:color w:val="581D74" w:themeColor="accent1"/>
                <w:spacing w:val="-2"/>
                <w:sz w:val="16"/>
                <w:szCs w:val="18"/>
              </w:rPr>
              <w:t>n millions d’euros</w:t>
            </w:r>
          </w:p>
        </w:tc>
        <w:tc>
          <w:tcPr>
            <w:tcW w:w="1361" w:type="dxa"/>
            <w:tcBorders>
              <w:top w:val="single" w:sz="12" w:space="0" w:color="A778AE" w:themeColor="accent2"/>
              <w:bottom w:val="single" w:sz="24" w:space="0" w:color="A778AE" w:themeColor="accent2"/>
            </w:tcBorders>
            <w:shd w:val="clear" w:color="auto" w:fill="D9D9D9" w:themeFill="background1" w:themeFillShade="D9"/>
            <w:vAlign w:val="center"/>
          </w:tcPr>
          <w:p w:rsidR="00421480" w:rsidRPr="00377693" w:rsidRDefault="00421480" w:rsidP="009F0686">
            <w:pPr>
              <w:tabs>
                <w:tab w:val="left" w:pos="336"/>
              </w:tabs>
              <w:spacing w:line="240" w:lineRule="auto"/>
              <w:ind w:right="113"/>
              <w:jc w:val="right"/>
              <w:rPr>
                <w:b/>
                <w:color w:val="581D74" w:themeColor="accent1"/>
                <w:spacing w:val="-2"/>
                <w:sz w:val="18"/>
                <w:szCs w:val="18"/>
              </w:rPr>
            </w:pPr>
            <w:r w:rsidRPr="00377693">
              <w:rPr>
                <w:b/>
                <w:color w:val="581D74" w:themeColor="accent1"/>
                <w:spacing w:val="-2"/>
                <w:sz w:val="18"/>
                <w:szCs w:val="18"/>
              </w:rPr>
              <w:t>S1-15</w:t>
            </w:r>
          </w:p>
        </w:tc>
        <w:tc>
          <w:tcPr>
            <w:tcW w:w="1361" w:type="dxa"/>
            <w:tcBorders>
              <w:top w:val="single" w:sz="12" w:space="0" w:color="A778AE" w:themeColor="accent2"/>
              <w:bottom w:val="single" w:sz="24" w:space="0" w:color="A778AE" w:themeColor="accent2"/>
            </w:tcBorders>
            <w:vAlign w:val="center"/>
          </w:tcPr>
          <w:p w:rsidR="00421480" w:rsidRDefault="00421480" w:rsidP="009F0686">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S1-15</w:t>
            </w:r>
            <w:r w:rsidRPr="009446BF">
              <w:rPr>
                <w:b/>
                <w:color w:val="581D74" w:themeColor="accent1"/>
                <w:spacing w:val="-2"/>
                <w:sz w:val="18"/>
                <w:szCs w:val="18"/>
              </w:rPr>
              <w:t xml:space="preserve"> /</w:t>
            </w:r>
          </w:p>
          <w:p w:rsidR="00421480" w:rsidRPr="009446BF" w:rsidRDefault="00421480" w:rsidP="009F0686">
            <w:pPr>
              <w:tabs>
                <w:tab w:val="left" w:pos="336"/>
              </w:tabs>
              <w:spacing w:line="240" w:lineRule="auto"/>
              <w:ind w:right="113"/>
              <w:jc w:val="right"/>
              <w:rPr>
                <w:b/>
                <w:color w:val="581D74" w:themeColor="accent1"/>
                <w:spacing w:val="-2"/>
                <w:sz w:val="18"/>
                <w:szCs w:val="18"/>
              </w:rPr>
            </w:pPr>
            <w:r>
              <w:rPr>
                <w:b/>
                <w:color w:val="581D74" w:themeColor="accent1"/>
                <w:spacing w:val="-2"/>
                <w:sz w:val="18"/>
                <w:szCs w:val="18"/>
              </w:rPr>
              <w:t xml:space="preserve">S1-14 pf </w:t>
            </w:r>
            <w:r w:rsidRPr="009446BF">
              <w:rPr>
                <w:b/>
                <w:color w:val="581D74" w:themeColor="accent1"/>
                <w:spacing w:val="-2"/>
                <w:sz w:val="18"/>
                <w:szCs w:val="18"/>
                <w:vertAlign w:val="superscript"/>
              </w:rPr>
              <w:t>*</w:t>
            </w:r>
          </w:p>
          <w:p w:rsidR="00421480" w:rsidRPr="009446BF" w:rsidRDefault="00421480" w:rsidP="009F0686">
            <w:pPr>
              <w:tabs>
                <w:tab w:val="left" w:pos="336"/>
              </w:tabs>
              <w:spacing w:line="240" w:lineRule="auto"/>
              <w:ind w:right="113"/>
              <w:jc w:val="right"/>
              <w:rPr>
                <w:spacing w:val="-2"/>
                <w:sz w:val="18"/>
                <w:szCs w:val="18"/>
              </w:rPr>
            </w:pPr>
            <w:r w:rsidRPr="009446BF">
              <w:rPr>
                <w:color w:val="581D74" w:themeColor="accent1"/>
                <w:spacing w:val="-2"/>
                <w:sz w:val="16"/>
                <w:szCs w:val="18"/>
              </w:rPr>
              <w:t>variation %</w:t>
            </w:r>
          </w:p>
        </w:tc>
        <w:tc>
          <w:tcPr>
            <w:tcW w:w="113" w:type="dxa"/>
          </w:tcPr>
          <w:p w:rsidR="00421480" w:rsidRPr="009446BF" w:rsidRDefault="00421480" w:rsidP="009F0686">
            <w:pPr>
              <w:tabs>
                <w:tab w:val="left" w:pos="336"/>
              </w:tabs>
              <w:spacing w:line="240" w:lineRule="auto"/>
              <w:rPr>
                <w:spacing w:val="-2"/>
                <w:sz w:val="18"/>
                <w:szCs w:val="18"/>
              </w:rPr>
            </w:pPr>
          </w:p>
        </w:tc>
        <w:tc>
          <w:tcPr>
            <w:tcW w:w="1361" w:type="dxa"/>
            <w:tcBorders>
              <w:top w:val="single" w:sz="12" w:space="0" w:color="A778AE" w:themeColor="accent2"/>
              <w:bottom w:val="single" w:sz="24" w:space="0" w:color="A778AE" w:themeColor="accent2"/>
            </w:tcBorders>
            <w:shd w:val="clear" w:color="auto" w:fill="D9D9D9" w:themeFill="background1" w:themeFillShade="D9"/>
            <w:vAlign w:val="center"/>
          </w:tcPr>
          <w:p w:rsidR="00421480" w:rsidRPr="00174DAD" w:rsidRDefault="00421480" w:rsidP="009F0686">
            <w:pPr>
              <w:tabs>
                <w:tab w:val="left" w:pos="336"/>
              </w:tabs>
              <w:spacing w:line="240" w:lineRule="auto"/>
              <w:ind w:right="113"/>
              <w:jc w:val="right"/>
              <w:rPr>
                <w:b/>
                <w:color w:val="581D74" w:themeColor="accent1"/>
                <w:spacing w:val="-2"/>
                <w:sz w:val="18"/>
                <w:szCs w:val="18"/>
              </w:rPr>
            </w:pPr>
            <w:r w:rsidRPr="00174DAD">
              <w:rPr>
                <w:b/>
                <w:color w:val="581D74" w:themeColor="accent1"/>
                <w:spacing w:val="-2"/>
                <w:sz w:val="18"/>
                <w:szCs w:val="18"/>
              </w:rPr>
              <w:t>Métiers cœurs</w:t>
            </w:r>
            <w:r w:rsidRPr="00174DAD">
              <w:rPr>
                <w:b/>
                <w:color w:val="581D74" w:themeColor="accent1"/>
                <w:spacing w:val="-2"/>
                <w:sz w:val="18"/>
                <w:szCs w:val="18"/>
                <w:vertAlign w:val="superscript"/>
              </w:rPr>
              <w:t>**</w:t>
            </w:r>
            <w:r w:rsidRPr="00174DAD">
              <w:rPr>
                <w:b/>
                <w:color w:val="581D74" w:themeColor="accent1"/>
                <w:spacing w:val="-2"/>
                <w:sz w:val="18"/>
                <w:szCs w:val="18"/>
              </w:rPr>
              <w:t xml:space="preserve"> </w:t>
            </w:r>
          </w:p>
          <w:p w:rsidR="00421480" w:rsidRPr="00174DAD" w:rsidRDefault="00421480" w:rsidP="009F0686">
            <w:pPr>
              <w:tabs>
                <w:tab w:val="left" w:pos="336"/>
              </w:tabs>
              <w:spacing w:line="240" w:lineRule="auto"/>
              <w:ind w:right="113"/>
              <w:jc w:val="right"/>
              <w:rPr>
                <w:color w:val="581D74" w:themeColor="accent1"/>
                <w:spacing w:val="-2"/>
                <w:sz w:val="18"/>
                <w:szCs w:val="18"/>
              </w:rPr>
            </w:pPr>
            <w:r w:rsidRPr="00174DAD">
              <w:rPr>
                <w:b/>
                <w:color w:val="581D74" w:themeColor="accent1"/>
                <w:spacing w:val="-2"/>
                <w:sz w:val="18"/>
                <w:szCs w:val="18"/>
              </w:rPr>
              <w:t>S1-15</w:t>
            </w:r>
          </w:p>
        </w:tc>
        <w:tc>
          <w:tcPr>
            <w:tcW w:w="1361" w:type="dxa"/>
            <w:tcBorders>
              <w:top w:val="single" w:sz="12" w:space="0" w:color="A778AE" w:themeColor="accent2"/>
              <w:bottom w:val="single" w:sz="24" w:space="0" w:color="A778AE" w:themeColor="accent2"/>
            </w:tcBorders>
            <w:vAlign w:val="center"/>
          </w:tcPr>
          <w:p w:rsidR="00421480" w:rsidRPr="00174DAD" w:rsidRDefault="00421480" w:rsidP="009F0686">
            <w:pPr>
              <w:tabs>
                <w:tab w:val="left" w:pos="336"/>
              </w:tabs>
              <w:spacing w:line="240" w:lineRule="auto"/>
              <w:ind w:right="113"/>
              <w:jc w:val="right"/>
              <w:rPr>
                <w:b/>
                <w:color w:val="581D74" w:themeColor="accent1"/>
                <w:spacing w:val="-2"/>
                <w:sz w:val="18"/>
                <w:szCs w:val="18"/>
              </w:rPr>
            </w:pPr>
            <w:r w:rsidRPr="00174DAD">
              <w:rPr>
                <w:b/>
                <w:color w:val="581D74" w:themeColor="accent1"/>
                <w:spacing w:val="-2"/>
                <w:sz w:val="18"/>
                <w:szCs w:val="18"/>
              </w:rPr>
              <w:t xml:space="preserve">S1-15 / </w:t>
            </w:r>
          </w:p>
          <w:p w:rsidR="00421480" w:rsidRPr="00174DAD" w:rsidRDefault="00421480" w:rsidP="009F0686">
            <w:pPr>
              <w:tabs>
                <w:tab w:val="left" w:pos="336"/>
              </w:tabs>
              <w:spacing w:line="240" w:lineRule="auto"/>
              <w:ind w:right="113"/>
              <w:jc w:val="right"/>
              <w:rPr>
                <w:b/>
                <w:color w:val="581D74" w:themeColor="accent1"/>
                <w:spacing w:val="-2"/>
                <w:sz w:val="18"/>
                <w:szCs w:val="18"/>
              </w:rPr>
            </w:pPr>
            <w:r w:rsidRPr="00174DAD">
              <w:rPr>
                <w:b/>
                <w:color w:val="581D74" w:themeColor="accent1"/>
                <w:spacing w:val="-2"/>
                <w:sz w:val="18"/>
                <w:szCs w:val="18"/>
              </w:rPr>
              <w:t>S1-14 pf</w:t>
            </w:r>
            <w:r w:rsidRPr="00174DAD">
              <w:rPr>
                <w:b/>
                <w:color w:val="581D74" w:themeColor="accent1"/>
                <w:spacing w:val="-2"/>
                <w:sz w:val="18"/>
                <w:szCs w:val="18"/>
                <w:vertAlign w:val="superscript"/>
              </w:rPr>
              <w:t>*</w:t>
            </w:r>
          </w:p>
          <w:p w:rsidR="00421480" w:rsidRPr="00174DAD" w:rsidRDefault="00421480" w:rsidP="009F0686">
            <w:pPr>
              <w:tabs>
                <w:tab w:val="left" w:pos="336"/>
              </w:tabs>
              <w:spacing w:line="240" w:lineRule="auto"/>
              <w:ind w:right="113"/>
              <w:jc w:val="right"/>
              <w:rPr>
                <w:color w:val="581D74" w:themeColor="accent1"/>
                <w:spacing w:val="-2"/>
                <w:sz w:val="18"/>
                <w:szCs w:val="18"/>
              </w:rPr>
            </w:pPr>
            <w:r w:rsidRPr="00174DAD">
              <w:rPr>
                <w:color w:val="581D74" w:themeColor="accent1"/>
                <w:spacing w:val="-2"/>
                <w:sz w:val="16"/>
                <w:szCs w:val="18"/>
              </w:rPr>
              <w:t>variation %</w:t>
            </w:r>
          </w:p>
        </w:tc>
      </w:tr>
      <w:tr w:rsidR="00421480" w:rsidRPr="00A80C42" w:rsidTr="009F0686">
        <w:trPr>
          <w:trHeight w:val="340"/>
        </w:trPr>
        <w:tc>
          <w:tcPr>
            <w:tcW w:w="4139" w:type="dxa"/>
            <w:tcBorders>
              <w:top w:val="single" w:sz="24" w:space="0" w:color="A778AE" w:themeColor="accent2"/>
            </w:tcBorders>
            <w:vAlign w:val="center"/>
          </w:tcPr>
          <w:p w:rsidR="00421480" w:rsidRPr="009446BF" w:rsidRDefault="00421480" w:rsidP="009F0686">
            <w:pPr>
              <w:tabs>
                <w:tab w:val="left" w:pos="336"/>
              </w:tabs>
              <w:spacing w:line="240" w:lineRule="auto"/>
              <w:ind w:left="113" w:right="113"/>
              <w:jc w:val="left"/>
              <w:rPr>
                <w:spacing w:val="-2"/>
                <w:sz w:val="18"/>
                <w:szCs w:val="18"/>
              </w:rPr>
            </w:pPr>
            <w:r>
              <w:rPr>
                <w:spacing w:val="-2"/>
                <w:sz w:val="18"/>
                <w:szCs w:val="18"/>
              </w:rPr>
              <w:t xml:space="preserve">Produit net bancaire </w:t>
            </w:r>
            <w:r w:rsidR="00E94639" w:rsidRPr="0000413E">
              <w:rPr>
                <w:spacing w:val="-2"/>
                <w:sz w:val="18"/>
                <w:szCs w:val="18"/>
                <w:vertAlign w:val="superscript"/>
              </w:rPr>
              <w:t>***</w:t>
            </w:r>
          </w:p>
        </w:tc>
        <w:tc>
          <w:tcPr>
            <w:tcW w:w="1361" w:type="dxa"/>
            <w:tcBorders>
              <w:top w:val="single" w:sz="24" w:space="0" w:color="A778AE" w:themeColor="accent2"/>
            </w:tcBorders>
            <w:shd w:val="clear" w:color="auto" w:fill="D9D9D9" w:themeFill="background1" w:themeFillShade="D9"/>
            <w:vAlign w:val="center"/>
          </w:tcPr>
          <w:p w:rsidR="00421480" w:rsidRPr="00377693" w:rsidRDefault="00421480" w:rsidP="009F0686">
            <w:pPr>
              <w:tabs>
                <w:tab w:val="left" w:pos="336"/>
              </w:tabs>
              <w:spacing w:line="240" w:lineRule="auto"/>
              <w:ind w:right="113"/>
              <w:jc w:val="right"/>
              <w:rPr>
                <w:color w:val="581D74" w:themeColor="accent1"/>
                <w:spacing w:val="-2"/>
                <w:sz w:val="18"/>
                <w:szCs w:val="18"/>
              </w:rPr>
            </w:pPr>
            <w:r w:rsidRPr="00377693">
              <w:rPr>
                <w:color w:val="581D74" w:themeColor="accent1"/>
                <w:spacing w:val="-2"/>
                <w:sz w:val="18"/>
                <w:szCs w:val="18"/>
              </w:rPr>
              <w:t>12 143</w:t>
            </w:r>
          </w:p>
        </w:tc>
        <w:tc>
          <w:tcPr>
            <w:tcW w:w="1361" w:type="dxa"/>
            <w:tcBorders>
              <w:top w:val="single" w:sz="24" w:space="0" w:color="A778AE" w:themeColor="accent2"/>
            </w:tcBorders>
            <w:vAlign w:val="center"/>
          </w:tcPr>
          <w:p w:rsidR="00421480" w:rsidRPr="00BD0549" w:rsidRDefault="00421480" w:rsidP="009F0686">
            <w:pPr>
              <w:tabs>
                <w:tab w:val="left" w:pos="336"/>
              </w:tabs>
              <w:spacing w:line="240" w:lineRule="auto"/>
              <w:ind w:right="113"/>
              <w:jc w:val="right"/>
              <w:rPr>
                <w:color w:val="581D74" w:themeColor="accent1"/>
                <w:spacing w:val="-2"/>
                <w:sz w:val="18"/>
                <w:szCs w:val="18"/>
              </w:rPr>
            </w:pPr>
            <w:r w:rsidRPr="00BD0549">
              <w:rPr>
                <w:color w:val="581D74" w:themeColor="accent1"/>
                <w:spacing w:val="-2"/>
                <w:sz w:val="18"/>
                <w:szCs w:val="18"/>
              </w:rPr>
              <w:t>+ 6,7 %</w:t>
            </w:r>
          </w:p>
        </w:tc>
        <w:tc>
          <w:tcPr>
            <w:tcW w:w="113" w:type="dxa"/>
          </w:tcPr>
          <w:p w:rsidR="00421480" w:rsidRPr="00FD1FEC" w:rsidRDefault="00421480" w:rsidP="009F0686">
            <w:pPr>
              <w:tabs>
                <w:tab w:val="left" w:pos="336"/>
              </w:tabs>
              <w:spacing w:line="240" w:lineRule="auto"/>
              <w:rPr>
                <w:color w:val="FF0000"/>
                <w:spacing w:val="-2"/>
                <w:sz w:val="18"/>
                <w:szCs w:val="18"/>
              </w:rPr>
            </w:pPr>
          </w:p>
        </w:tc>
        <w:tc>
          <w:tcPr>
            <w:tcW w:w="1361" w:type="dxa"/>
            <w:tcBorders>
              <w:top w:val="single" w:sz="24" w:space="0" w:color="A778AE" w:themeColor="accent2"/>
            </w:tcBorders>
            <w:shd w:val="clear" w:color="auto" w:fill="D9D9D9" w:themeFill="background1" w:themeFillShade="D9"/>
            <w:vAlign w:val="center"/>
          </w:tcPr>
          <w:p w:rsidR="00421480" w:rsidRPr="00174DAD" w:rsidRDefault="00421480" w:rsidP="009F0686">
            <w:pPr>
              <w:tabs>
                <w:tab w:val="left" w:pos="336"/>
              </w:tabs>
              <w:spacing w:line="240" w:lineRule="auto"/>
              <w:ind w:right="113"/>
              <w:jc w:val="right"/>
              <w:rPr>
                <w:color w:val="581D74" w:themeColor="accent1"/>
                <w:spacing w:val="-2"/>
                <w:sz w:val="18"/>
                <w:szCs w:val="18"/>
              </w:rPr>
            </w:pPr>
            <w:r w:rsidRPr="00174DAD">
              <w:rPr>
                <w:color w:val="581D74" w:themeColor="accent1"/>
                <w:spacing w:val="-2"/>
                <w:sz w:val="18"/>
                <w:szCs w:val="18"/>
              </w:rPr>
              <w:t>11 815</w:t>
            </w:r>
          </w:p>
        </w:tc>
        <w:tc>
          <w:tcPr>
            <w:tcW w:w="1361" w:type="dxa"/>
            <w:tcBorders>
              <w:top w:val="single" w:sz="24" w:space="0" w:color="A778AE" w:themeColor="accent2"/>
            </w:tcBorders>
            <w:vAlign w:val="center"/>
          </w:tcPr>
          <w:p w:rsidR="00421480" w:rsidRPr="00174DAD" w:rsidRDefault="00421480" w:rsidP="009F0686">
            <w:pPr>
              <w:tabs>
                <w:tab w:val="left" w:pos="336"/>
              </w:tabs>
              <w:spacing w:line="240" w:lineRule="auto"/>
              <w:ind w:right="113"/>
              <w:jc w:val="right"/>
              <w:rPr>
                <w:color w:val="581D74" w:themeColor="accent1"/>
                <w:spacing w:val="-2"/>
                <w:sz w:val="18"/>
                <w:szCs w:val="18"/>
              </w:rPr>
            </w:pPr>
            <w:r w:rsidRPr="00174DAD">
              <w:rPr>
                <w:color w:val="581D74" w:themeColor="accent1"/>
                <w:spacing w:val="-2"/>
                <w:sz w:val="18"/>
                <w:szCs w:val="18"/>
              </w:rPr>
              <w:t>+ 7,2 %</w:t>
            </w:r>
          </w:p>
        </w:tc>
      </w:tr>
      <w:tr w:rsidR="00421480" w:rsidRPr="00A80C42" w:rsidTr="009F0686">
        <w:trPr>
          <w:trHeight w:val="340"/>
        </w:trPr>
        <w:tc>
          <w:tcPr>
            <w:tcW w:w="4139" w:type="dxa"/>
            <w:vAlign w:val="center"/>
          </w:tcPr>
          <w:p w:rsidR="00421480" w:rsidRPr="009446BF" w:rsidRDefault="00421480" w:rsidP="009F0686">
            <w:pPr>
              <w:tabs>
                <w:tab w:val="left" w:pos="336"/>
              </w:tabs>
              <w:spacing w:line="240" w:lineRule="auto"/>
              <w:ind w:left="113" w:right="113"/>
              <w:jc w:val="left"/>
              <w:rPr>
                <w:spacing w:val="-2"/>
                <w:sz w:val="18"/>
                <w:szCs w:val="18"/>
              </w:rPr>
            </w:pPr>
            <w:r>
              <w:rPr>
                <w:spacing w:val="-2"/>
                <w:sz w:val="18"/>
                <w:szCs w:val="18"/>
              </w:rPr>
              <w:t>Frais de gestion</w:t>
            </w:r>
            <w:r w:rsidR="00E94639">
              <w:rPr>
                <w:spacing w:val="-2"/>
                <w:sz w:val="18"/>
                <w:szCs w:val="18"/>
              </w:rPr>
              <w:t xml:space="preserve"> </w:t>
            </w:r>
            <w:r w:rsidR="00E94639" w:rsidRPr="0000413E">
              <w:rPr>
                <w:spacing w:val="-2"/>
                <w:sz w:val="18"/>
                <w:szCs w:val="18"/>
                <w:vertAlign w:val="superscript"/>
              </w:rPr>
              <w:t>***</w:t>
            </w:r>
          </w:p>
        </w:tc>
        <w:tc>
          <w:tcPr>
            <w:tcW w:w="1361" w:type="dxa"/>
            <w:shd w:val="clear" w:color="auto" w:fill="D9D9D9" w:themeFill="background1" w:themeFillShade="D9"/>
            <w:vAlign w:val="center"/>
          </w:tcPr>
          <w:p w:rsidR="00421480" w:rsidRPr="00377693" w:rsidRDefault="00421480" w:rsidP="009F0686">
            <w:pPr>
              <w:tabs>
                <w:tab w:val="left" w:pos="336"/>
              </w:tabs>
              <w:spacing w:line="240" w:lineRule="auto"/>
              <w:ind w:right="113"/>
              <w:jc w:val="right"/>
              <w:rPr>
                <w:color w:val="581D74" w:themeColor="accent1"/>
                <w:spacing w:val="-2"/>
                <w:sz w:val="18"/>
                <w:szCs w:val="18"/>
              </w:rPr>
            </w:pPr>
            <w:r w:rsidRPr="00377693">
              <w:rPr>
                <w:color w:val="581D74" w:themeColor="accent1"/>
                <w:spacing w:val="-2"/>
                <w:sz w:val="18"/>
                <w:szCs w:val="18"/>
              </w:rPr>
              <w:t>- 8 087</w:t>
            </w:r>
          </w:p>
        </w:tc>
        <w:tc>
          <w:tcPr>
            <w:tcW w:w="1361" w:type="dxa"/>
            <w:vAlign w:val="center"/>
          </w:tcPr>
          <w:p w:rsidR="00421480" w:rsidRPr="00BD0549" w:rsidRDefault="00421480" w:rsidP="009F0686">
            <w:pPr>
              <w:tabs>
                <w:tab w:val="left" w:pos="336"/>
              </w:tabs>
              <w:spacing w:line="240" w:lineRule="auto"/>
              <w:ind w:right="113"/>
              <w:jc w:val="right"/>
              <w:rPr>
                <w:color w:val="581D74" w:themeColor="accent1"/>
                <w:spacing w:val="-2"/>
                <w:sz w:val="18"/>
                <w:szCs w:val="18"/>
              </w:rPr>
            </w:pPr>
            <w:r w:rsidRPr="00BD0549">
              <w:rPr>
                <w:color w:val="581D74" w:themeColor="accent1"/>
                <w:spacing w:val="-2"/>
                <w:sz w:val="18"/>
                <w:szCs w:val="18"/>
              </w:rPr>
              <w:t>+ 2,7 %</w:t>
            </w:r>
          </w:p>
        </w:tc>
        <w:tc>
          <w:tcPr>
            <w:tcW w:w="113" w:type="dxa"/>
          </w:tcPr>
          <w:p w:rsidR="00421480" w:rsidRPr="00FD1FEC" w:rsidRDefault="00421480" w:rsidP="009F0686">
            <w:pPr>
              <w:tabs>
                <w:tab w:val="left" w:pos="336"/>
              </w:tabs>
              <w:spacing w:line="240" w:lineRule="auto"/>
              <w:rPr>
                <w:color w:val="FF0000"/>
                <w:spacing w:val="-2"/>
                <w:sz w:val="18"/>
                <w:szCs w:val="18"/>
              </w:rPr>
            </w:pPr>
          </w:p>
        </w:tc>
        <w:tc>
          <w:tcPr>
            <w:tcW w:w="1361" w:type="dxa"/>
            <w:shd w:val="clear" w:color="auto" w:fill="D9D9D9" w:themeFill="background1" w:themeFillShade="D9"/>
            <w:vAlign w:val="center"/>
          </w:tcPr>
          <w:p w:rsidR="00421480" w:rsidRPr="00174DAD" w:rsidRDefault="00421480" w:rsidP="009F0686">
            <w:pPr>
              <w:tabs>
                <w:tab w:val="left" w:pos="336"/>
              </w:tabs>
              <w:spacing w:line="240" w:lineRule="auto"/>
              <w:ind w:right="113"/>
              <w:jc w:val="right"/>
              <w:rPr>
                <w:color w:val="581D74" w:themeColor="accent1"/>
                <w:spacing w:val="-2"/>
                <w:sz w:val="18"/>
                <w:szCs w:val="18"/>
              </w:rPr>
            </w:pPr>
            <w:r w:rsidRPr="00174DAD">
              <w:rPr>
                <w:color w:val="581D74" w:themeColor="accent1"/>
                <w:spacing w:val="-2"/>
                <w:sz w:val="18"/>
                <w:szCs w:val="18"/>
              </w:rPr>
              <w:t>- 7 588</w:t>
            </w:r>
          </w:p>
        </w:tc>
        <w:tc>
          <w:tcPr>
            <w:tcW w:w="1361" w:type="dxa"/>
            <w:vAlign w:val="center"/>
          </w:tcPr>
          <w:p w:rsidR="00421480" w:rsidRPr="00174DAD" w:rsidRDefault="00421480" w:rsidP="009F0686">
            <w:pPr>
              <w:tabs>
                <w:tab w:val="left" w:pos="336"/>
              </w:tabs>
              <w:spacing w:line="240" w:lineRule="auto"/>
              <w:ind w:right="113"/>
              <w:jc w:val="right"/>
              <w:rPr>
                <w:color w:val="581D74" w:themeColor="accent1"/>
                <w:spacing w:val="-2"/>
                <w:sz w:val="18"/>
                <w:szCs w:val="18"/>
              </w:rPr>
            </w:pPr>
            <w:r w:rsidRPr="00174DAD">
              <w:rPr>
                <w:color w:val="581D74" w:themeColor="accent1"/>
                <w:spacing w:val="-2"/>
                <w:sz w:val="18"/>
                <w:szCs w:val="18"/>
              </w:rPr>
              <w:t>+ 3,6 %</w:t>
            </w:r>
          </w:p>
        </w:tc>
      </w:tr>
      <w:tr w:rsidR="00421480" w:rsidRPr="00A80C42" w:rsidTr="009F0686">
        <w:trPr>
          <w:trHeight w:val="340"/>
        </w:trPr>
        <w:tc>
          <w:tcPr>
            <w:tcW w:w="4139" w:type="dxa"/>
            <w:vAlign w:val="center"/>
          </w:tcPr>
          <w:p w:rsidR="00421480" w:rsidRPr="00AA12BF" w:rsidRDefault="00421480" w:rsidP="009F0686">
            <w:pPr>
              <w:tabs>
                <w:tab w:val="left" w:pos="336"/>
              </w:tabs>
              <w:spacing w:line="240" w:lineRule="auto"/>
              <w:ind w:left="113" w:right="113"/>
              <w:jc w:val="left"/>
              <w:rPr>
                <w:b/>
                <w:color w:val="581D74" w:themeColor="accent1"/>
                <w:spacing w:val="-2"/>
                <w:sz w:val="18"/>
                <w:szCs w:val="18"/>
              </w:rPr>
            </w:pPr>
            <w:r w:rsidRPr="00AA12BF">
              <w:rPr>
                <w:b/>
                <w:color w:val="581D74" w:themeColor="accent1"/>
                <w:spacing w:val="-2"/>
                <w:sz w:val="18"/>
                <w:szCs w:val="18"/>
              </w:rPr>
              <w:t>Résultat brut d’exploitation</w:t>
            </w:r>
            <w:r w:rsidR="00E94639" w:rsidRPr="00E94639">
              <w:rPr>
                <w:b/>
                <w:color w:val="581D74" w:themeColor="accent1"/>
                <w:spacing w:val="-2"/>
                <w:sz w:val="18"/>
                <w:szCs w:val="18"/>
              </w:rPr>
              <w:t xml:space="preserve"> </w:t>
            </w:r>
            <w:r w:rsidR="00E94639" w:rsidRPr="0000413E">
              <w:rPr>
                <w:b/>
                <w:color w:val="581D74" w:themeColor="accent1"/>
                <w:spacing w:val="-2"/>
                <w:sz w:val="18"/>
                <w:szCs w:val="18"/>
                <w:vertAlign w:val="superscript"/>
              </w:rPr>
              <w:t>***</w:t>
            </w:r>
          </w:p>
        </w:tc>
        <w:tc>
          <w:tcPr>
            <w:tcW w:w="1361" w:type="dxa"/>
            <w:shd w:val="clear" w:color="auto" w:fill="D9D9D9" w:themeFill="background1" w:themeFillShade="D9"/>
            <w:vAlign w:val="center"/>
          </w:tcPr>
          <w:p w:rsidR="00421480" w:rsidRPr="00377693" w:rsidRDefault="00421480" w:rsidP="009F0686">
            <w:pPr>
              <w:tabs>
                <w:tab w:val="left" w:pos="336"/>
              </w:tabs>
              <w:spacing w:line="240" w:lineRule="auto"/>
              <w:ind w:right="113"/>
              <w:jc w:val="right"/>
              <w:rPr>
                <w:b/>
                <w:color w:val="581D74" w:themeColor="accent1"/>
                <w:spacing w:val="-2"/>
                <w:sz w:val="18"/>
                <w:szCs w:val="18"/>
              </w:rPr>
            </w:pPr>
            <w:r w:rsidRPr="00377693">
              <w:rPr>
                <w:b/>
                <w:color w:val="581D74" w:themeColor="accent1"/>
                <w:spacing w:val="-2"/>
                <w:sz w:val="18"/>
                <w:szCs w:val="18"/>
              </w:rPr>
              <w:t>4 056</w:t>
            </w:r>
          </w:p>
        </w:tc>
        <w:tc>
          <w:tcPr>
            <w:tcW w:w="1361" w:type="dxa"/>
            <w:vAlign w:val="center"/>
          </w:tcPr>
          <w:p w:rsidR="00421480" w:rsidRPr="00BD0549" w:rsidRDefault="00421480" w:rsidP="009F0686">
            <w:pPr>
              <w:tabs>
                <w:tab w:val="left" w:pos="336"/>
              </w:tabs>
              <w:spacing w:line="240" w:lineRule="auto"/>
              <w:ind w:right="113"/>
              <w:jc w:val="right"/>
              <w:rPr>
                <w:b/>
                <w:color w:val="581D74" w:themeColor="accent1"/>
                <w:spacing w:val="-2"/>
                <w:sz w:val="18"/>
                <w:szCs w:val="18"/>
              </w:rPr>
            </w:pPr>
            <w:r w:rsidRPr="00BD0549">
              <w:rPr>
                <w:b/>
                <w:color w:val="581D74" w:themeColor="accent1"/>
                <w:spacing w:val="-2"/>
                <w:sz w:val="18"/>
                <w:szCs w:val="18"/>
              </w:rPr>
              <w:t>+ 15,5 %</w:t>
            </w:r>
          </w:p>
        </w:tc>
        <w:tc>
          <w:tcPr>
            <w:tcW w:w="113" w:type="dxa"/>
          </w:tcPr>
          <w:p w:rsidR="00421480" w:rsidRPr="00FD1FEC" w:rsidRDefault="00421480" w:rsidP="009F0686">
            <w:pPr>
              <w:tabs>
                <w:tab w:val="left" w:pos="336"/>
              </w:tabs>
              <w:spacing w:line="240" w:lineRule="auto"/>
              <w:rPr>
                <w:b/>
                <w:color w:val="FF0000"/>
                <w:spacing w:val="-2"/>
                <w:sz w:val="18"/>
                <w:szCs w:val="18"/>
              </w:rPr>
            </w:pPr>
          </w:p>
        </w:tc>
        <w:tc>
          <w:tcPr>
            <w:tcW w:w="1361" w:type="dxa"/>
            <w:shd w:val="clear" w:color="auto" w:fill="D9D9D9" w:themeFill="background1" w:themeFillShade="D9"/>
            <w:vAlign w:val="center"/>
          </w:tcPr>
          <w:p w:rsidR="00421480" w:rsidRPr="00174DAD" w:rsidRDefault="00421480" w:rsidP="009F0686">
            <w:pPr>
              <w:tabs>
                <w:tab w:val="left" w:pos="336"/>
              </w:tabs>
              <w:spacing w:line="240" w:lineRule="auto"/>
              <w:ind w:right="113"/>
              <w:jc w:val="right"/>
              <w:rPr>
                <w:b/>
                <w:color w:val="581D74" w:themeColor="accent1"/>
                <w:spacing w:val="-2"/>
                <w:sz w:val="18"/>
                <w:szCs w:val="18"/>
              </w:rPr>
            </w:pPr>
            <w:r w:rsidRPr="00174DAD">
              <w:rPr>
                <w:b/>
                <w:color w:val="581D74" w:themeColor="accent1"/>
                <w:spacing w:val="-2"/>
                <w:sz w:val="18"/>
                <w:szCs w:val="18"/>
              </w:rPr>
              <w:t>4 227</w:t>
            </w:r>
          </w:p>
        </w:tc>
        <w:tc>
          <w:tcPr>
            <w:tcW w:w="1361" w:type="dxa"/>
            <w:vAlign w:val="center"/>
          </w:tcPr>
          <w:p w:rsidR="00421480" w:rsidRPr="00174DAD" w:rsidRDefault="00421480" w:rsidP="009F0686">
            <w:pPr>
              <w:tabs>
                <w:tab w:val="left" w:pos="336"/>
              </w:tabs>
              <w:spacing w:line="240" w:lineRule="auto"/>
              <w:ind w:right="113"/>
              <w:jc w:val="right"/>
              <w:rPr>
                <w:b/>
                <w:color w:val="581D74" w:themeColor="accent1"/>
                <w:spacing w:val="-2"/>
                <w:sz w:val="18"/>
                <w:szCs w:val="18"/>
              </w:rPr>
            </w:pPr>
            <w:r w:rsidRPr="00174DAD">
              <w:rPr>
                <w:b/>
                <w:color w:val="581D74" w:themeColor="accent1"/>
                <w:spacing w:val="-2"/>
                <w:sz w:val="18"/>
                <w:szCs w:val="18"/>
              </w:rPr>
              <w:t>+ 14,2 %</w:t>
            </w:r>
          </w:p>
        </w:tc>
      </w:tr>
      <w:tr w:rsidR="00421480" w:rsidRPr="00A80C42" w:rsidTr="009F0686">
        <w:trPr>
          <w:trHeight w:val="340"/>
        </w:trPr>
        <w:tc>
          <w:tcPr>
            <w:tcW w:w="4139" w:type="dxa"/>
            <w:vAlign w:val="center"/>
          </w:tcPr>
          <w:p w:rsidR="00421480" w:rsidRPr="009446BF" w:rsidRDefault="00421480" w:rsidP="009F0686">
            <w:pPr>
              <w:tabs>
                <w:tab w:val="left" w:pos="336"/>
              </w:tabs>
              <w:spacing w:line="240" w:lineRule="auto"/>
              <w:ind w:left="113" w:right="113"/>
              <w:jc w:val="left"/>
              <w:rPr>
                <w:spacing w:val="-2"/>
                <w:sz w:val="18"/>
                <w:szCs w:val="18"/>
              </w:rPr>
            </w:pPr>
            <w:r>
              <w:rPr>
                <w:spacing w:val="-2"/>
                <w:sz w:val="18"/>
                <w:szCs w:val="18"/>
              </w:rPr>
              <w:t>Coût du risque</w:t>
            </w:r>
            <w:r w:rsidR="00E94639">
              <w:rPr>
                <w:spacing w:val="-2"/>
                <w:sz w:val="18"/>
                <w:szCs w:val="18"/>
              </w:rPr>
              <w:t xml:space="preserve"> </w:t>
            </w:r>
            <w:r w:rsidR="00E94639" w:rsidRPr="0000413E">
              <w:rPr>
                <w:spacing w:val="-2"/>
                <w:sz w:val="18"/>
                <w:szCs w:val="18"/>
                <w:vertAlign w:val="superscript"/>
              </w:rPr>
              <w:t>***</w:t>
            </w:r>
          </w:p>
        </w:tc>
        <w:tc>
          <w:tcPr>
            <w:tcW w:w="1361" w:type="dxa"/>
            <w:shd w:val="clear" w:color="auto" w:fill="D9D9D9" w:themeFill="background1" w:themeFillShade="D9"/>
            <w:vAlign w:val="center"/>
          </w:tcPr>
          <w:p w:rsidR="00421480" w:rsidRPr="00377693" w:rsidRDefault="00421480" w:rsidP="009F0686">
            <w:pPr>
              <w:tabs>
                <w:tab w:val="left" w:pos="336"/>
              </w:tabs>
              <w:spacing w:line="240" w:lineRule="auto"/>
              <w:ind w:right="113"/>
              <w:jc w:val="right"/>
              <w:rPr>
                <w:color w:val="581D74" w:themeColor="accent1"/>
                <w:spacing w:val="-2"/>
                <w:sz w:val="18"/>
                <w:szCs w:val="18"/>
              </w:rPr>
            </w:pPr>
            <w:r w:rsidRPr="00377693">
              <w:rPr>
                <w:color w:val="581D74" w:themeColor="accent1"/>
                <w:spacing w:val="-2"/>
                <w:sz w:val="18"/>
                <w:szCs w:val="18"/>
              </w:rPr>
              <w:t>- 929</w:t>
            </w:r>
          </w:p>
        </w:tc>
        <w:tc>
          <w:tcPr>
            <w:tcW w:w="1361" w:type="dxa"/>
            <w:vAlign w:val="center"/>
          </w:tcPr>
          <w:p w:rsidR="00421480" w:rsidRPr="00BD0549" w:rsidRDefault="00421480" w:rsidP="009F0686">
            <w:pPr>
              <w:tabs>
                <w:tab w:val="left" w:pos="336"/>
              </w:tabs>
              <w:spacing w:line="240" w:lineRule="auto"/>
              <w:ind w:right="113"/>
              <w:jc w:val="right"/>
              <w:rPr>
                <w:color w:val="581D74" w:themeColor="accent1"/>
                <w:spacing w:val="-2"/>
                <w:sz w:val="18"/>
                <w:szCs w:val="18"/>
              </w:rPr>
            </w:pPr>
            <w:r w:rsidRPr="00BD0549">
              <w:rPr>
                <w:color w:val="581D74" w:themeColor="accent1"/>
                <w:spacing w:val="-2"/>
                <w:sz w:val="18"/>
                <w:szCs w:val="18"/>
              </w:rPr>
              <w:t>+ 1,0 %</w:t>
            </w:r>
          </w:p>
        </w:tc>
        <w:tc>
          <w:tcPr>
            <w:tcW w:w="113" w:type="dxa"/>
          </w:tcPr>
          <w:p w:rsidR="00421480" w:rsidRPr="00FD1FEC" w:rsidRDefault="00421480" w:rsidP="009F0686">
            <w:pPr>
              <w:tabs>
                <w:tab w:val="left" w:pos="336"/>
              </w:tabs>
              <w:spacing w:line="240" w:lineRule="auto"/>
              <w:rPr>
                <w:color w:val="FF0000"/>
                <w:spacing w:val="-2"/>
                <w:sz w:val="18"/>
                <w:szCs w:val="18"/>
              </w:rPr>
            </w:pPr>
          </w:p>
        </w:tc>
        <w:tc>
          <w:tcPr>
            <w:tcW w:w="1361" w:type="dxa"/>
            <w:shd w:val="clear" w:color="auto" w:fill="D9D9D9" w:themeFill="background1" w:themeFillShade="D9"/>
            <w:vAlign w:val="center"/>
          </w:tcPr>
          <w:p w:rsidR="00421480" w:rsidRPr="00174DAD" w:rsidRDefault="00421480" w:rsidP="009F0686">
            <w:pPr>
              <w:tabs>
                <w:tab w:val="left" w:pos="336"/>
              </w:tabs>
              <w:spacing w:line="240" w:lineRule="auto"/>
              <w:ind w:right="113"/>
              <w:jc w:val="right"/>
              <w:rPr>
                <w:color w:val="581D74" w:themeColor="accent1"/>
                <w:spacing w:val="-2"/>
                <w:sz w:val="18"/>
                <w:szCs w:val="18"/>
              </w:rPr>
            </w:pPr>
            <w:r w:rsidRPr="00174DAD">
              <w:rPr>
                <w:color w:val="581D74" w:themeColor="accent1"/>
                <w:spacing w:val="-2"/>
                <w:sz w:val="18"/>
                <w:szCs w:val="18"/>
              </w:rPr>
              <w:t>- 892</w:t>
            </w:r>
          </w:p>
        </w:tc>
        <w:tc>
          <w:tcPr>
            <w:tcW w:w="1361" w:type="dxa"/>
            <w:vAlign w:val="center"/>
          </w:tcPr>
          <w:p w:rsidR="00421480" w:rsidRPr="00174DAD" w:rsidRDefault="00421480" w:rsidP="009F0686">
            <w:pPr>
              <w:tabs>
                <w:tab w:val="left" w:pos="336"/>
              </w:tabs>
              <w:spacing w:line="240" w:lineRule="auto"/>
              <w:ind w:right="113"/>
              <w:jc w:val="right"/>
              <w:rPr>
                <w:color w:val="581D74" w:themeColor="accent1"/>
                <w:spacing w:val="-2"/>
                <w:sz w:val="18"/>
                <w:szCs w:val="18"/>
              </w:rPr>
            </w:pPr>
            <w:r w:rsidRPr="00174DAD">
              <w:rPr>
                <w:color w:val="581D74" w:themeColor="accent1"/>
                <w:spacing w:val="-2"/>
                <w:sz w:val="18"/>
                <w:szCs w:val="18"/>
              </w:rPr>
              <w:t>+ 3,8 %</w:t>
            </w:r>
          </w:p>
        </w:tc>
      </w:tr>
      <w:tr w:rsidR="00421480" w:rsidRPr="00A80C42" w:rsidTr="009F0686">
        <w:trPr>
          <w:trHeight w:val="340"/>
        </w:trPr>
        <w:tc>
          <w:tcPr>
            <w:tcW w:w="4139" w:type="dxa"/>
            <w:vAlign w:val="center"/>
          </w:tcPr>
          <w:p w:rsidR="00421480" w:rsidRPr="00811ECB" w:rsidRDefault="00421480" w:rsidP="009F0686">
            <w:pPr>
              <w:tabs>
                <w:tab w:val="left" w:pos="336"/>
              </w:tabs>
              <w:spacing w:line="240" w:lineRule="auto"/>
              <w:ind w:left="113" w:right="113"/>
              <w:jc w:val="left"/>
              <w:rPr>
                <w:b/>
                <w:color w:val="581D74" w:themeColor="accent1"/>
                <w:spacing w:val="-2"/>
                <w:sz w:val="18"/>
                <w:szCs w:val="18"/>
              </w:rPr>
            </w:pPr>
            <w:r w:rsidRPr="00811ECB">
              <w:rPr>
                <w:b/>
                <w:color w:val="581D74" w:themeColor="accent1"/>
                <w:spacing w:val="-2"/>
                <w:sz w:val="18"/>
                <w:szCs w:val="18"/>
              </w:rPr>
              <w:t>Résultat avant impôt</w:t>
            </w:r>
            <w:r w:rsidR="00E94639" w:rsidRPr="00E94639">
              <w:rPr>
                <w:b/>
                <w:color w:val="581D74" w:themeColor="accent1"/>
                <w:spacing w:val="-2"/>
                <w:sz w:val="18"/>
                <w:szCs w:val="18"/>
              </w:rPr>
              <w:t xml:space="preserve"> </w:t>
            </w:r>
            <w:r w:rsidR="00E94639" w:rsidRPr="0000413E">
              <w:rPr>
                <w:b/>
                <w:color w:val="581D74" w:themeColor="accent1"/>
                <w:spacing w:val="-2"/>
                <w:sz w:val="18"/>
                <w:szCs w:val="18"/>
                <w:vertAlign w:val="superscript"/>
              </w:rPr>
              <w:t>***</w:t>
            </w:r>
          </w:p>
        </w:tc>
        <w:tc>
          <w:tcPr>
            <w:tcW w:w="1361" w:type="dxa"/>
            <w:shd w:val="clear" w:color="auto" w:fill="D9D9D9" w:themeFill="background1" w:themeFillShade="D9"/>
            <w:vAlign w:val="center"/>
          </w:tcPr>
          <w:p w:rsidR="00421480" w:rsidRPr="00377693" w:rsidRDefault="00421480" w:rsidP="009F0686">
            <w:pPr>
              <w:tabs>
                <w:tab w:val="left" w:pos="336"/>
              </w:tabs>
              <w:spacing w:line="240" w:lineRule="auto"/>
              <w:ind w:right="113"/>
              <w:jc w:val="right"/>
              <w:rPr>
                <w:b/>
                <w:color w:val="581D74" w:themeColor="accent1"/>
                <w:spacing w:val="-2"/>
                <w:sz w:val="18"/>
                <w:szCs w:val="18"/>
              </w:rPr>
            </w:pPr>
            <w:r w:rsidRPr="00377693">
              <w:rPr>
                <w:b/>
                <w:color w:val="581D74" w:themeColor="accent1"/>
                <w:spacing w:val="-2"/>
                <w:sz w:val="18"/>
                <w:szCs w:val="18"/>
              </w:rPr>
              <w:t>3 276</w:t>
            </w:r>
          </w:p>
        </w:tc>
        <w:tc>
          <w:tcPr>
            <w:tcW w:w="1361" w:type="dxa"/>
            <w:vAlign w:val="center"/>
          </w:tcPr>
          <w:p w:rsidR="00421480" w:rsidRPr="00BD0549" w:rsidRDefault="00421480" w:rsidP="009F0686">
            <w:pPr>
              <w:tabs>
                <w:tab w:val="left" w:pos="336"/>
              </w:tabs>
              <w:spacing w:line="240" w:lineRule="auto"/>
              <w:ind w:right="113"/>
              <w:jc w:val="right"/>
              <w:rPr>
                <w:b/>
                <w:color w:val="581D74" w:themeColor="accent1"/>
                <w:spacing w:val="-2"/>
                <w:sz w:val="18"/>
                <w:szCs w:val="18"/>
              </w:rPr>
            </w:pPr>
            <w:r w:rsidRPr="00BD0549">
              <w:rPr>
                <w:b/>
                <w:color w:val="581D74" w:themeColor="accent1"/>
                <w:spacing w:val="-2"/>
                <w:sz w:val="18"/>
                <w:szCs w:val="18"/>
              </w:rPr>
              <w:t>+ 19,2 %</w:t>
            </w:r>
          </w:p>
        </w:tc>
        <w:tc>
          <w:tcPr>
            <w:tcW w:w="113" w:type="dxa"/>
          </w:tcPr>
          <w:p w:rsidR="00421480" w:rsidRPr="00FD1FEC" w:rsidRDefault="00421480" w:rsidP="009F0686">
            <w:pPr>
              <w:tabs>
                <w:tab w:val="left" w:pos="336"/>
              </w:tabs>
              <w:spacing w:line="240" w:lineRule="auto"/>
              <w:rPr>
                <w:b/>
                <w:color w:val="FF0000"/>
                <w:spacing w:val="-2"/>
                <w:sz w:val="18"/>
                <w:szCs w:val="18"/>
              </w:rPr>
            </w:pPr>
          </w:p>
        </w:tc>
        <w:tc>
          <w:tcPr>
            <w:tcW w:w="1361" w:type="dxa"/>
            <w:shd w:val="clear" w:color="auto" w:fill="D9D9D9" w:themeFill="background1" w:themeFillShade="D9"/>
            <w:vAlign w:val="center"/>
          </w:tcPr>
          <w:p w:rsidR="00421480" w:rsidRPr="00174DAD" w:rsidRDefault="00421480" w:rsidP="009F0686">
            <w:pPr>
              <w:tabs>
                <w:tab w:val="left" w:pos="336"/>
              </w:tabs>
              <w:spacing w:line="240" w:lineRule="auto"/>
              <w:ind w:right="113"/>
              <w:jc w:val="right"/>
              <w:rPr>
                <w:b/>
                <w:color w:val="581D74" w:themeColor="accent1"/>
                <w:spacing w:val="-2"/>
                <w:sz w:val="18"/>
                <w:szCs w:val="18"/>
              </w:rPr>
            </w:pPr>
            <w:r w:rsidRPr="00174DAD">
              <w:rPr>
                <w:b/>
                <w:color w:val="581D74" w:themeColor="accent1"/>
                <w:spacing w:val="-2"/>
                <w:sz w:val="18"/>
                <w:szCs w:val="18"/>
              </w:rPr>
              <w:t>3 470</w:t>
            </w:r>
          </w:p>
        </w:tc>
        <w:tc>
          <w:tcPr>
            <w:tcW w:w="1361" w:type="dxa"/>
            <w:vAlign w:val="center"/>
          </w:tcPr>
          <w:p w:rsidR="00421480" w:rsidRPr="00174DAD" w:rsidRDefault="00421480" w:rsidP="009F0686">
            <w:pPr>
              <w:tabs>
                <w:tab w:val="left" w:pos="336"/>
              </w:tabs>
              <w:spacing w:line="240" w:lineRule="auto"/>
              <w:ind w:right="113"/>
              <w:jc w:val="right"/>
              <w:rPr>
                <w:b/>
                <w:color w:val="581D74" w:themeColor="accent1"/>
                <w:spacing w:val="-2"/>
                <w:sz w:val="18"/>
                <w:szCs w:val="18"/>
              </w:rPr>
            </w:pPr>
            <w:r w:rsidRPr="00174DAD">
              <w:rPr>
                <w:b/>
                <w:color w:val="581D74" w:themeColor="accent1"/>
                <w:spacing w:val="-2"/>
                <w:sz w:val="18"/>
                <w:szCs w:val="18"/>
              </w:rPr>
              <w:t>+ 16,9 %</w:t>
            </w:r>
          </w:p>
        </w:tc>
      </w:tr>
      <w:tr w:rsidR="00421480" w:rsidRPr="00A80C42" w:rsidTr="009F0686">
        <w:trPr>
          <w:trHeight w:val="340"/>
        </w:trPr>
        <w:tc>
          <w:tcPr>
            <w:tcW w:w="4139" w:type="dxa"/>
            <w:vAlign w:val="center"/>
          </w:tcPr>
          <w:p w:rsidR="00421480" w:rsidRPr="00811ECB" w:rsidRDefault="00421480" w:rsidP="009F0686">
            <w:pPr>
              <w:tabs>
                <w:tab w:val="left" w:pos="336"/>
              </w:tabs>
              <w:spacing w:line="240" w:lineRule="auto"/>
              <w:ind w:left="113" w:right="113"/>
              <w:jc w:val="left"/>
              <w:rPr>
                <w:b/>
                <w:color w:val="581D74" w:themeColor="accent1"/>
                <w:spacing w:val="-2"/>
                <w:sz w:val="18"/>
                <w:szCs w:val="18"/>
              </w:rPr>
            </w:pPr>
            <w:r w:rsidRPr="00811ECB">
              <w:rPr>
                <w:b/>
                <w:color w:val="581D74" w:themeColor="accent1"/>
                <w:spacing w:val="-2"/>
                <w:sz w:val="18"/>
                <w:szCs w:val="18"/>
              </w:rPr>
              <w:t>Résultat net part du groupe</w:t>
            </w:r>
            <w:r w:rsidR="00E94639" w:rsidRPr="00E94639">
              <w:rPr>
                <w:b/>
                <w:color w:val="581D74" w:themeColor="accent1"/>
                <w:spacing w:val="-2"/>
                <w:sz w:val="18"/>
                <w:szCs w:val="18"/>
              </w:rPr>
              <w:t xml:space="preserve"> </w:t>
            </w:r>
            <w:r w:rsidR="00E94639" w:rsidRPr="0000413E">
              <w:rPr>
                <w:b/>
                <w:color w:val="581D74" w:themeColor="accent1"/>
                <w:spacing w:val="-2"/>
                <w:sz w:val="18"/>
                <w:szCs w:val="18"/>
                <w:vertAlign w:val="superscript"/>
              </w:rPr>
              <w:t>***</w:t>
            </w:r>
          </w:p>
        </w:tc>
        <w:tc>
          <w:tcPr>
            <w:tcW w:w="1361" w:type="dxa"/>
            <w:shd w:val="clear" w:color="auto" w:fill="D9D9D9" w:themeFill="background1" w:themeFillShade="D9"/>
            <w:vAlign w:val="center"/>
          </w:tcPr>
          <w:p w:rsidR="00421480" w:rsidRPr="00377693" w:rsidRDefault="00421480" w:rsidP="009F0686">
            <w:pPr>
              <w:tabs>
                <w:tab w:val="left" w:pos="336"/>
              </w:tabs>
              <w:spacing w:line="240" w:lineRule="auto"/>
              <w:ind w:right="113"/>
              <w:jc w:val="right"/>
              <w:rPr>
                <w:b/>
                <w:color w:val="581D74" w:themeColor="accent1"/>
                <w:spacing w:val="-2"/>
                <w:sz w:val="18"/>
                <w:szCs w:val="18"/>
              </w:rPr>
            </w:pPr>
            <w:r w:rsidRPr="00377693">
              <w:rPr>
                <w:b/>
                <w:color w:val="581D74" w:themeColor="accent1"/>
                <w:spacing w:val="-2"/>
                <w:sz w:val="18"/>
                <w:szCs w:val="18"/>
              </w:rPr>
              <w:t>1 760</w:t>
            </w:r>
          </w:p>
        </w:tc>
        <w:tc>
          <w:tcPr>
            <w:tcW w:w="1361" w:type="dxa"/>
            <w:vAlign w:val="center"/>
          </w:tcPr>
          <w:p w:rsidR="00421480" w:rsidRPr="00FD1FEC" w:rsidRDefault="00421480" w:rsidP="009F0686">
            <w:pPr>
              <w:tabs>
                <w:tab w:val="left" w:pos="336"/>
              </w:tabs>
              <w:spacing w:line="240" w:lineRule="auto"/>
              <w:ind w:right="113"/>
              <w:jc w:val="right"/>
              <w:rPr>
                <w:b/>
                <w:color w:val="FF0000"/>
                <w:spacing w:val="-2"/>
                <w:sz w:val="18"/>
                <w:szCs w:val="18"/>
              </w:rPr>
            </w:pPr>
            <w:r w:rsidRPr="00BD0549">
              <w:rPr>
                <w:b/>
                <w:color w:val="581D74" w:themeColor="accent1"/>
                <w:spacing w:val="-2"/>
                <w:sz w:val="18"/>
                <w:szCs w:val="18"/>
              </w:rPr>
              <w:t>+ 9,9 %</w:t>
            </w:r>
          </w:p>
        </w:tc>
        <w:tc>
          <w:tcPr>
            <w:tcW w:w="113" w:type="dxa"/>
          </w:tcPr>
          <w:p w:rsidR="00421480" w:rsidRPr="00FD1FEC" w:rsidRDefault="00421480" w:rsidP="009F0686">
            <w:pPr>
              <w:tabs>
                <w:tab w:val="left" w:pos="336"/>
              </w:tabs>
              <w:spacing w:line="240" w:lineRule="auto"/>
              <w:rPr>
                <w:b/>
                <w:color w:val="FF0000"/>
                <w:spacing w:val="-2"/>
                <w:sz w:val="18"/>
                <w:szCs w:val="18"/>
              </w:rPr>
            </w:pPr>
          </w:p>
        </w:tc>
        <w:tc>
          <w:tcPr>
            <w:tcW w:w="1361" w:type="dxa"/>
            <w:shd w:val="clear" w:color="auto" w:fill="D9D9D9" w:themeFill="background1" w:themeFillShade="D9"/>
            <w:vAlign w:val="center"/>
          </w:tcPr>
          <w:p w:rsidR="00421480" w:rsidRPr="00174DAD" w:rsidRDefault="00421480" w:rsidP="009F0686">
            <w:pPr>
              <w:tabs>
                <w:tab w:val="left" w:pos="336"/>
              </w:tabs>
              <w:spacing w:line="240" w:lineRule="auto"/>
              <w:ind w:right="113"/>
              <w:jc w:val="right"/>
              <w:rPr>
                <w:b/>
                <w:color w:val="581D74" w:themeColor="accent1"/>
                <w:spacing w:val="-2"/>
                <w:sz w:val="18"/>
                <w:szCs w:val="18"/>
              </w:rPr>
            </w:pPr>
            <w:r w:rsidRPr="00174DAD">
              <w:rPr>
                <w:b/>
                <w:color w:val="581D74" w:themeColor="accent1"/>
                <w:spacing w:val="-2"/>
                <w:sz w:val="18"/>
                <w:szCs w:val="18"/>
              </w:rPr>
              <w:t xml:space="preserve"> 1 953</w:t>
            </w:r>
          </w:p>
        </w:tc>
        <w:tc>
          <w:tcPr>
            <w:tcW w:w="1361" w:type="dxa"/>
            <w:vAlign w:val="center"/>
          </w:tcPr>
          <w:p w:rsidR="00421480" w:rsidRPr="00174DAD" w:rsidRDefault="00421480" w:rsidP="009F0686">
            <w:pPr>
              <w:tabs>
                <w:tab w:val="left" w:pos="336"/>
              </w:tabs>
              <w:spacing w:line="240" w:lineRule="auto"/>
              <w:ind w:right="113"/>
              <w:jc w:val="right"/>
              <w:rPr>
                <w:b/>
                <w:color w:val="581D74" w:themeColor="accent1"/>
                <w:spacing w:val="-2"/>
                <w:sz w:val="18"/>
                <w:szCs w:val="18"/>
              </w:rPr>
            </w:pPr>
            <w:r w:rsidRPr="00174DAD">
              <w:rPr>
                <w:b/>
                <w:color w:val="581D74" w:themeColor="accent1"/>
                <w:spacing w:val="-2"/>
                <w:sz w:val="18"/>
                <w:szCs w:val="18"/>
              </w:rPr>
              <w:t>+ 14,7 %</w:t>
            </w:r>
          </w:p>
        </w:tc>
      </w:tr>
      <w:tr w:rsidR="00421480" w:rsidRPr="00A80C42" w:rsidTr="009F0686">
        <w:trPr>
          <w:trHeight w:val="227"/>
        </w:trPr>
        <w:tc>
          <w:tcPr>
            <w:tcW w:w="4139" w:type="dxa"/>
            <w:vAlign w:val="center"/>
          </w:tcPr>
          <w:p w:rsidR="00421480" w:rsidRPr="00AA12BF" w:rsidRDefault="00421480" w:rsidP="009F0686">
            <w:pPr>
              <w:tabs>
                <w:tab w:val="left" w:pos="336"/>
              </w:tabs>
              <w:spacing w:line="240" w:lineRule="auto"/>
              <w:ind w:left="113" w:right="113"/>
              <w:jc w:val="left"/>
              <w:rPr>
                <w:b/>
                <w:spacing w:val="-2"/>
                <w:sz w:val="18"/>
                <w:szCs w:val="18"/>
              </w:rPr>
            </w:pPr>
          </w:p>
        </w:tc>
        <w:tc>
          <w:tcPr>
            <w:tcW w:w="1361" w:type="dxa"/>
            <w:shd w:val="clear" w:color="auto" w:fill="D9D9D9" w:themeFill="background1" w:themeFillShade="D9"/>
            <w:vAlign w:val="center"/>
          </w:tcPr>
          <w:p w:rsidR="00421480" w:rsidRPr="00377693" w:rsidRDefault="00421480" w:rsidP="009F0686">
            <w:pPr>
              <w:tabs>
                <w:tab w:val="left" w:pos="336"/>
              </w:tabs>
              <w:spacing w:line="240" w:lineRule="auto"/>
              <w:ind w:right="113"/>
              <w:jc w:val="right"/>
              <w:rPr>
                <w:b/>
                <w:color w:val="581D74" w:themeColor="accent1"/>
                <w:spacing w:val="-2"/>
                <w:sz w:val="18"/>
                <w:szCs w:val="18"/>
              </w:rPr>
            </w:pPr>
          </w:p>
        </w:tc>
        <w:tc>
          <w:tcPr>
            <w:tcW w:w="1361" w:type="dxa"/>
            <w:vAlign w:val="center"/>
          </w:tcPr>
          <w:p w:rsidR="00421480" w:rsidRPr="00FD1FEC" w:rsidRDefault="00421480" w:rsidP="009F0686">
            <w:pPr>
              <w:tabs>
                <w:tab w:val="left" w:pos="336"/>
              </w:tabs>
              <w:spacing w:line="240" w:lineRule="auto"/>
              <w:ind w:right="113"/>
              <w:jc w:val="right"/>
              <w:rPr>
                <w:b/>
                <w:color w:val="FF0000"/>
                <w:spacing w:val="-2"/>
                <w:sz w:val="18"/>
                <w:szCs w:val="18"/>
              </w:rPr>
            </w:pPr>
          </w:p>
        </w:tc>
        <w:tc>
          <w:tcPr>
            <w:tcW w:w="113" w:type="dxa"/>
          </w:tcPr>
          <w:p w:rsidR="00421480" w:rsidRPr="00FD1FEC" w:rsidRDefault="00421480" w:rsidP="009F0686">
            <w:pPr>
              <w:tabs>
                <w:tab w:val="left" w:pos="336"/>
              </w:tabs>
              <w:spacing w:line="240" w:lineRule="auto"/>
              <w:rPr>
                <w:b/>
                <w:color w:val="FF0000"/>
                <w:spacing w:val="-2"/>
                <w:sz w:val="18"/>
                <w:szCs w:val="18"/>
              </w:rPr>
            </w:pPr>
          </w:p>
        </w:tc>
        <w:tc>
          <w:tcPr>
            <w:tcW w:w="1361" w:type="dxa"/>
            <w:shd w:val="clear" w:color="auto" w:fill="D9D9D9" w:themeFill="background1" w:themeFillShade="D9"/>
            <w:vAlign w:val="center"/>
          </w:tcPr>
          <w:p w:rsidR="00421480" w:rsidRPr="00174DAD" w:rsidRDefault="00421480" w:rsidP="009F0686">
            <w:pPr>
              <w:tabs>
                <w:tab w:val="left" w:pos="336"/>
              </w:tabs>
              <w:spacing w:line="240" w:lineRule="auto"/>
              <w:ind w:right="113"/>
              <w:jc w:val="right"/>
              <w:rPr>
                <w:b/>
                <w:color w:val="581D74" w:themeColor="accent1"/>
                <w:spacing w:val="-2"/>
                <w:sz w:val="18"/>
                <w:szCs w:val="18"/>
              </w:rPr>
            </w:pPr>
          </w:p>
        </w:tc>
        <w:tc>
          <w:tcPr>
            <w:tcW w:w="1361" w:type="dxa"/>
            <w:vAlign w:val="center"/>
          </w:tcPr>
          <w:p w:rsidR="00421480" w:rsidRPr="00174DAD" w:rsidRDefault="00421480" w:rsidP="009F0686">
            <w:pPr>
              <w:tabs>
                <w:tab w:val="left" w:pos="336"/>
              </w:tabs>
              <w:spacing w:line="240" w:lineRule="auto"/>
              <w:ind w:right="113"/>
              <w:jc w:val="right"/>
              <w:rPr>
                <w:b/>
                <w:color w:val="581D74" w:themeColor="accent1"/>
                <w:spacing w:val="-2"/>
                <w:sz w:val="18"/>
                <w:szCs w:val="18"/>
              </w:rPr>
            </w:pPr>
          </w:p>
        </w:tc>
      </w:tr>
      <w:tr w:rsidR="00421480" w:rsidRPr="00A80C42" w:rsidTr="009F0686">
        <w:trPr>
          <w:trHeight w:val="340"/>
        </w:trPr>
        <w:tc>
          <w:tcPr>
            <w:tcW w:w="4139" w:type="dxa"/>
            <w:tcBorders>
              <w:bottom w:val="single" w:sz="12" w:space="0" w:color="A778AE" w:themeColor="accent2"/>
            </w:tcBorders>
            <w:vAlign w:val="center"/>
          </w:tcPr>
          <w:p w:rsidR="00421480" w:rsidRPr="00811ECB" w:rsidRDefault="00421480" w:rsidP="009F0686">
            <w:pPr>
              <w:tabs>
                <w:tab w:val="left" w:pos="336"/>
              </w:tabs>
              <w:spacing w:line="240" w:lineRule="auto"/>
              <w:ind w:left="113" w:right="113"/>
              <w:jc w:val="left"/>
              <w:rPr>
                <w:color w:val="581D74" w:themeColor="accent1"/>
                <w:spacing w:val="-2"/>
                <w:sz w:val="16"/>
                <w:szCs w:val="16"/>
              </w:rPr>
            </w:pPr>
            <w:r w:rsidRPr="00811ECB">
              <w:rPr>
                <w:color w:val="581D74" w:themeColor="accent1"/>
                <w:spacing w:val="-2"/>
                <w:sz w:val="16"/>
                <w:szCs w:val="16"/>
              </w:rPr>
              <w:t xml:space="preserve">Retraitement de l’impact IFRIC 21 </w:t>
            </w:r>
          </w:p>
        </w:tc>
        <w:tc>
          <w:tcPr>
            <w:tcW w:w="1361" w:type="dxa"/>
            <w:shd w:val="clear" w:color="auto" w:fill="D9D9D9" w:themeFill="background1" w:themeFillShade="D9"/>
            <w:vAlign w:val="center"/>
          </w:tcPr>
          <w:p w:rsidR="00421480" w:rsidRPr="00377693" w:rsidRDefault="00421480" w:rsidP="009F0686">
            <w:pPr>
              <w:tabs>
                <w:tab w:val="left" w:pos="336"/>
              </w:tabs>
              <w:spacing w:line="240" w:lineRule="auto"/>
              <w:ind w:right="113"/>
              <w:jc w:val="right"/>
              <w:rPr>
                <w:color w:val="581D74" w:themeColor="accent1"/>
                <w:spacing w:val="-2"/>
                <w:sz w:val="18"/>
                <w:szCs w:val="18"/>
              </w:rPr>
            </w:pPr>
            <w:r w:rsidRPr="00377693">
              <w:rPr>
                <w:color w:val="581D74" w:themeColor="accent1"/>
                <w:spacing w:val="-2"/>
                <w:sz w:val="18"/>
                <w:szCs w:val="18"/>
              </w:rPr>
              <w:t>90</w:t>
            </w:r>
          </w:p>
        </w:tc>
        <w:tc>
          <w:tcPr>
            <w:tcW w:w="1361" w:type="dxa"/>
            <w:vAlign w:val="center"/>
          </w:tcPr>
          <w:p w:rsidR="00421480" w:rsidRPr="00FD1FEC" w:rsidRDefault="00421480" w:rsidP="009F0686">
            <w:pPr>
              <w:tabs>
                <w:tab w:val="left" w:pos="336"/>
              </w:tabs>
              <w:spacing w:line="240" w:lineRule="auto"/>
              <w:ind w:right="113"/>
              <w:jc w:val="right"/>
              <w:rPr>
                <w:color w:val="FF0000"/>
                <w:spacing w:val="-2"/>
                <w:sz w:val="18"/>
                <w:szCs w:val="18"/>
              </w:rPr>
            </w:pPr>
          </w:p>
        </w:tc>
        <w:tc>
          <w:tcPr>
            <w:tcW w:w="113" w:type="dxa"/>
          </w:tcPr>
          <w:p w:rsidR="00421480" w:rsidRPr="00FD1FEC" w:rsidRDefault="00421480" w:rsidP="009F0686">
            <w:pPr>
              <w:tabs>
                <w:tab w:val="left" w:pos="336"/>
              </w:tabs>
              <w:spacing w:line="240" w:lineRule="auto"/>
              <w:rPr>
                <w:color w:val="FF0000"/>
                <w:spacing w:val="-2"/>
                <w:sz w:val="18"/>
                <w:szCs w:val="18"/>
              </w:rPr>
            </w:pPr>
          </w:p>
        </w:tc>
        <w:tc>
          <w:tcPr>
            <w:tcW w:w="1361" w:type="dxa"/>
            <w:shd w:val="clear" w:color="auto" w:fill="D9D9D9" w:themeFill="background1" w:themeFillShade="D9"/>
            <w:vAlign w:val="center"/>
          </w:tcPr>
          <w:p w:rsidR="00421480" w:rsidRPr="00174DAD" w:rsidRDefault="00421480" w:rsidP="009F0686">
            <w:pPr>
              <w:tabs>
                <w:tab w:val="left" w:pos="336"/>
              </w:tabs>
              <w:spacing w:line="240" w:lineRule="auto"/>
              <w:ind w:right="113"/>
              <w:jc w:val="right"/>
              <w:rPr>
                <w:color w:val="581D74" w:themeColor="accent1"/>
                <w:spacing w:val="-2"/>
                <w:sz w:val="18"/>
                <w:szCs w:val="18"/>
              </w:rPr>
            </w:pPr>
            <w:r w:rsidRPr="00174DAD">
              <w:rPr>
                <w:color w:val="581D74" w:themeColor="accent1"/>
                <w:spacing w:val="-2"/>
                <w:sz w:val="18"/>
                <w:szCs w:val="18"/>
              </w:rPr>
              <w:t>83</w:t>
            </w:r>
          </w:p>
        </w:tc>
        <w:tc>
          <w:tcPr>
            <w:tcW w:w="1361" w:type="dxa"/>
            <w:vAlign w:val="center"/>
          </w:tcPr>
          <w:p w:rsidR="00421480" w:rsidRPr="00174DAD" w:rsidRDefault="00421480" w:rsidP="009F0686">
            <w:pPr>
              <w:tabs>
                <w:tab w:val="left" w:pos="336"/>
              </w:tabs>
              <w:spacing w:line="240" w:lineRule="auto"/>
              <w:ind w:right="113"/>
              <w:jc w:val="right"/>
              <w:rPr>
                <w:color w:val="581D74" w:themeColor="accent1"/>
                <w:spacing w:val="-2"/>
                <w:sz w:val="18"/>
                <w:szCs w:val="18"/>
              </w:rPr>
            </w:pPr>
          </w:p>
        </w:tc>
      </w:tr>
      <w:tr w:rsidR="00421480" w:rsidRPr="00A97BEA" w:rsidTr="009F0686">
        <w:trPr>
          <w:trHeight w:val="340"/>
        </w:trPr>
        <w:tc>
          <w:tcPr>
            <w:tcW w:w="4139" w:type="dxa"/>
            <w:tcBorders>
              <w:top w:val="single" w:sz="12" w:space="0" w:color="A778AE" w:themeColor="accent2"/>
            </w:tcBorders>
            <w:vAlign w:val="center"/>
          </w:tcPr>
          <w:p w:rsidR="00421480" w:rsidRPr="00A97BEA" w:rsidRDefault="008907D1" w:rsidP="009F0686">
            <w:pPr>
              <w:tabs>
                <w:tab w:val="left" w:pos="336"/>
              </w:tabs>
              <w:spacing w:line="240" w:lineRule="auto"/>
              <w:ind w:left="113" w:right="113"/>
              <w:jc w:val="left"/>
              <w:rPr>
                <w:b/>
                <w:color w:val="581D74" w:themeColor="accent1"/>
                <w:spacing w:val="-2"/>
                <w:sz w:val="18"/>
                <w:szCs w:val="18"/>
              </w:rPr>
            </w:pPr>
            <w:r w:rsidRPr="00A97BEA">
              <w:rPr>
                <w:b/>
                <w:color w:val="581D74" w:themeColor="accent1"/>
                <w:spacing w:val="-2"/>
                <w:sz w:val="18"/>
                <w:szCs w:val="18"/>
              </w:rPr>
              <w:t>Résultat net part du groupe</w:t>
            </w:r>
            <w:r w:rsidRPr="0000413E">
              <w:rPr>
                <w:b/>
                <w:color w:val="581D74" w:themeColor="accent1"/>
                <w:spacing w:val="-2"/>
                <w:sz w:val="18"/>
                <w:szCs w:val="18"/>
                <w:vertAlign w:val="superscript"/>
              </w:rPr>
              <w:t>****</w:t>
            </w:r>
            <w:bookmarkStart w:id="10" w:name="_GoBack"/>
            <w:bookmarkEnd w:id="10"/>
          </w:p>
        </w:tc>
        <w:tc>
          <w:tcPr>
            <w:tcW w:w="1361" w:type="dxa"/>
            <w:tcBorders>
              <w:top w:val="single" w:sz="12" w:space="0" w:color="A778AE" w:themeColor="accent2"/>
            </w:tcBorders>
            <w:shd w:val="clear" w:color="auto" w:fill="D9D9D9" w:themeFill="background1" w:themeFillShade="D9"/>
            <w:vAlign w:val="center"/>
          </w:tcPr>
          <w:p w:rsidR="00421480" w:rsidRPr="00377693" w:rsidRDefault="00421480" w:rsidP="009F0686">
            <w:pPr>
              <w:tabs>
                <w:tab w:val="left" w:pos="336"/>
              </w:tabs>
              <w:spacing w:line="240" w:lineRule="auto"/>
              <w:ind w:right="113"/>
              <w:jc w:val="right"/>
              <w:rPr>
                <w:b/>
                <w:color w:val="581D74" w:themeColor="accent1"/>
                <w:spacing w:val="-2"/>
                <w:sz w:val="18"/>
                <w:szCs w:val="18"/>
              </w:rPr>
            </w:pPr>
            <w:r w:rsidRPr="00377693">
              <w:rPr>
                <w:b/>
                <w:color w:val="581D74" w:themeColor="accent1"/>
                <w:spacing w:val="-2"/>
                <w:sz w:val="18"/>
                <w:szCs w:val="18"/>
              </w:rPr>
              <w:t>1 850</w:t>
            </w:r>
          </w:p>
        </w:tc>
        <w:tc>
          <w:tcPr>
            <w:tcW w:w="1361" w:type="dxa"/>
            <w:tcBorders>
              <w:top w:val="single" w:sz="12" w:space="0" w:color="A778AE" w:themeColor="accent2"/>
            </w:tcBorders>
            <w:vAlign w:val="center"/>
          </w:tcPr>
          <w:p w:rsidR="00421480" w:rsidRPr="00FD1FEC" w:rsidRDefault="00421480" w:rsidP="009F0686">
            <w:pPr>
              <w:tabs>
                <w:tab w:val="left" w:pos="336"/>
              </w:tabs>
              <w:spacing w:line="240" w:lineRule="auto"/>
              <w:ind w:right="113"/>
              <w:jc w:val="right"/>
              <w:rPr>
                <w:b/>
                <w:color w:val="FF0000"/>
                <w:spacing w:val="-2"/>
                <w:sz w:val="18"/>
                <w:szCs w:val="18"/>
              </w:rPr>
            </w:pPr>
            <w:r w:rsidRPr="00BD0549">
              <w:rPr>
                <w:b/>
                <w:color w:val="581D74" w:themeColor="accent1"/>
                <w:spacing w:val="-2"/>
                <w:sz w:val="18"/>
                <w:szCs w:val="18"/>
              </w:rPr>
              <w:t>+ 9,7 %</w:t>
            </w:r>
          </w:p>
        </w:tc>
        <w:tc>
          <w:tcPr>
            <w:tcW w:w="113" w:type="dxa"/>
          </w:tcPr>
          <w:p w:rsidR="00421480" w:rsidRPr="00FD1FEC" w:rsidRDefault="00421480" w:rsidP="009F0686">
            <w:pPr>
              <w:tabs>
                <w:tab w:val="left" w:pos="336"/>
              </w:tabs>
              <w:spacing w:line="240" w:lineRule="auto"/>
              <w:rPr>
                <w:b/>
                <w:color w:val="FF0000"/>
                <w:spacing w:val="-2"/>
                <w:sz w:val="18"/>
                <w:szCs w:val="18"/>
              </w:rPr>
            </w:pPr>
          </w:p>
        </w:tc>
        <w:tc>
          <w:tcPr>
            <w:tcW w:w="1361" w:type="dxa"/>
            <w:tcBorders>
              <w:top w:val="single" w:sz="12" w:space="0" w:color="A778AE" w:themeColor="accent2"/>
            </w:tcBorders>
            <w:shd w:val="clear" w:color="auto" w:fill="D9D9D9" w:themeFill="background1" w:themeFillShade="D9"/>
            <w:vAlign w:val="center"/>
          </w:tcPr>
          <w:p w:rsidR="00421480" w:rsidRPr="00174DAD" w:rsidRDefault="00421480" w:rsidP="009F0686">
            <w:pPr>
              <w:tabs>
                <w:tab w:val="left" w:pos="336"/>
              </w:tabs>
              <w:spacing w:line="240" w:lineRule="auto"/>
              <w:ind w:right="113"/>
              <w:jc w:val="right"/>
              <w:rPr>
                <w:b/>
                <w:color w:val="581D74" w:themeColor="accent1"/>
                <w:spacing w:val="-2"/>
                <w:sz w:val="18"/>
                <w:szCs w:val="18"/>
              </w:rPr>
            </w:pPr>
            <w:r w:rsidRPr="00174DAD">
              <w:rPr>
                <w:b/>
                <w:color w:val="581D74" w:themeColor="accent1"/>
                <w:spacing w:val="-2"/>
                <w:sz w:val="18"/>
                <w:szCs w:val="18"/>
              </w:rPr>
              <w:t>2 037</w:t>
            </w:r>
          </w:p>
        </w:tc>
        <w:tc>
          <w:tcPr>
            <w:tcW w:w="1361" w:type="dxa"/>
            <w:tcBorders>
              <w:top w:val="single" w:sz="12" w:space="0" w:color="A778AE" w:themeColor="accent2"/>
            </w:tcBorders>
            <w:vAlign w:val="center"/>
          </w:tcPr>
          <w:p w:rsidR="00421480" w:rsidRPr="00174DAD" w:rsidRDefault="00421480" w:rsidP="009F0686">
            <w:pPr>
              <w:tabs>
                <w:tab w:val="left" w:pos="336"/>
              </w:tabs>
              <w:spacing w:line="240" w:lineRule="auto"/>
              <w:ind w:right="113"/>
              <w:jc w:val="right"/>
              <w:rPr>
                <w:b/>
                <w:color w:val="581D74" w:themeColor="accent1"/>
                <w:spacing w:val="-2"/>
                <w:sz w:val="18"/>
                <w:szCs w:val="18"/>
              </w:rPr>
            </w:pPr>
            <w:r w:rsidRPr="00174DAD">
              <w:rPr>
                <w:b/>
                <w:color w:val="581D74" w:themeColor="accent1"/>
                <w:spacing w:val="-2"/>
                <w:sz w:val="18"/>
                <w:szCs w:val="18"/>
              </w:rPr>
              <w:t>+ 14,1 %</w:t>
            </w:r>
          </w:p>
        </w:tc>
      </w:tr>
      <w:tr w:rsidR="00421480" w:rsidRPr="00A80C42" w:rsidTr="009F0686">
        <w:trPr>
          <w:trHeight w:val="340"/>
        </w:trPr>
        <w:tc>
          <w:tcPr>
            <w:tcW w:w="4139" w:type="dxa"/>
            <w:vAlign w:val="center"/>
          </w:tcPr>
          <w:p w:rsidR="00421480" w:rsidRPr="009446BF" w:rsidRDefault="00421480" w:rsidP="009F0686">
            <w:pPr>
              <w:tabs>
                <w:tab w:val="left" w:pos="336"/>
              </w:tabs>
              <w:spacing w:line="240" w:lineRule="auto"/>
              <w:ind w:left="113" w:right="113"/>
              <w:jc w:val="left"/>
              <w:rPr>
                <w:spacing w:val="-2"/>
                <w:sz w:val="18"/>
                <w:szCs w:val="18"/>
              </w:rPr>
            </w:pPr>
            <w:r>
              <w:rPr>
                <w:spacing w:val="-2"/>
                <w:sz w:val="18"/>
                <w:szCs w:val="18"/>
              </w:rPr>
              <w:t>Coefficient d’exploitation</w:t>
            </w:r>
            <w:r w:rsidRPr="00CC0E7A">
              <w:rPr>
                <w:spacing w:val="-2"/>
                <w:sz w:val="18"/>
                <w:szCs w:val="18"/>
                <w:vertAlign w:val="superscript"/>
              </w:rPr>
              <w:t>***</w:t>
            </w:r>
            <w:r w:rsidR="00E94639">
              <w:rPr>
                <w:spacing w:val="-2"/>
                <w:sz w:val="18"/>
                <w:szCs w:val="18"/>
                <w:vertAlign w:val="superscript"/>
              </w:rPr>
              <w:t>*</w:t>
            </w:r>
          </w:p>
        </w:tc>
        <w:tc>
          <w:tcPr>
            <w:tcW w:w="1361" w:type="dxa"/>
            <w:shd w:val="clear" w:color="auto" w:fill="D9D9D9" w:themeFill="background1" w:themeFillShade="D9"/>
            <w:vAlign w:val="center"/>
          </w:tcPr>
          <w:p w:rsidR="00421480" w:rsidRPr="00377693" w:rsidRDefault="00421480" w:rsidP="009F0686">
            <w:pPr>
              <w:tabs>
                <w:tab w:val="left" w:pos="336"/>
              </w:tabs>
              <w:spacing w:line="240" w:lineRule="auto"/>
              <w:ind w:right="113"/>
              <w:jc w:val="right"/>
              <w:rPr>
                <w:color w:val="581D74" w:themeColor="accent1"/>
                <w:spacing w:val="-2"/>
                <w:sz w:val="18"/>
                <w:szCs w:val="18"/>
              </w:rPr>
            </w:pPr>
            <w:r w:rsidRPr="00377693">
              <w:rPr>
                <w:color w:val="581D74" w:themeColor="accent1"/>
                <w:spacing w:val="-2"/>
                <w:sz w:val="18"/>
                <w:szCs w:val="18"/>
              </w:rPr>
              <w:t>65,6 %</w:t>
            </w:r>
          </w:p>
        </w:tc>
        <w:tc>
          <w:tcPr>
            <w:tcW w:w="1361" w:type="dxa"/>
            <w:vAlign w:val="center"/>
          </w:tcPr>
          <w:p w:rsidR="00421480" w:rsidRPr="00FD1FEC" w:rsidRDefault="00421480" w:rsidP="009F0686">
            <w:pPr>
              <w:tabs>
                <w:tab w:val="left" w:pos="336"/>
              </w:tabs>
              <w:spacing w:line="240" w:lineRule="auto"/>
              <w:ind w:right="113"/>
              <w:jc w:val="right"/>
              <w:rPr>
                <w:color w:val="FF0000"/>
                <w:spacing w:val="-2"/>
                <w:sz w:val="18"/>
                <w:szCs w:val="18"/>
              </w:rPr>
            </w:pPr>
            <w:r w:rsidRPr="00BD0549">
              <w:rPr>
                <w:color w:val="581D74" w:themeColor="accent1"/>
                <w:spacing w:val="-2"/>
                <w:sz w:val="18"/>
                <w:szCs w:val="18"/>
              </w:rPr>
              <w:t>-2,2 pts</w:t>
            </w:r>
          </w:p>
        </w:tc>
        <w:tc>
          <w:tcPr>
            <w:tcW w:w="113" w:type="dxa"/>
          </w:tcPr>
          <w:p w:rsidR="00421480" w:rsidRPr="00FD1FEC" w:rsidRDefault="00421480" w:rsidP="009F0686">
            <w:pPr>
              <w:tabs>
                <w:tab w:val="left" w:pos="336"/>
              </w:tabs>
              <w:spacing w:line="240" w:lineRule="auto"/>
              <w:rPr>
                <w:color w:val="FF0000"/>
                <w:spacing w:val="-2"/>
                <w:sz w:val="18"/>
                <w:szCs w:val="18"/>
              </w:rPr>
            </w:pPr>
          </w:p>
        </w:tc>
        <w:tc>
          <w:tcPr>
            <w:tcW w:w="1361" w:type="dxa"/>
            <w:shd w:val="clear" w:color="auto" w:fill="D9D9D9" w:themeFill="background1" w:themeFillShade="D9"/>
            <w:vAlign w:val="center"/>
          </w:tcPr>
          <w:p w:rsidR="00421480" w:rsidRPr="00174DAD" w:rsidRDefault="00421480" w:rsidP="009F0686">
            <w:pPr>
              <w:tabs>
                <w:tab w:val="left" w:pos="336"/>
              </w:tabs>
              <w:spacing w:line="240" w:lineRule="auto"/>
              <w:ind w:right="113"/>
              <w:jc w:val="right"/>
              <w:rPr>
                <w:color w:val="581D74" w:themeColor="accent1"/>
                <w:spacing w:val="-2"/>
                <w:sz w:val="18"/>
                <w:szCs w:val="18"/>
              </w:rPr>
            </w:pPr>
            <w:r w:rsidRPr="00174DAD">
              <w:rPr>
                <w:color w:val="581D74" w:themeColor="accent1"/>
                <w:spacing w:val="-2"/>
                <w:sz w:val="18"/>
                <w:szCs w:val="18"/>
              </w:rPr>
              <w:t>63,2 %</w:t>
            </w:r>
          </w:p>
        </w:tc>
        <w:tc>
          <w:tcPr>
            <w:tcW w:w="1361" w:type="dxa"/>
            <w:vAlign w:val="center"/>
          </w:tcPr>
          <w:p w:rsidR="00421480" w:rsidRPr="00174DAD" w:rsidRDefault="00421480" w:rsidP="009F0686">
            <w:pPr>
              <w:tabs>
                <w:tab w:val="left" w:pos="336"/>
              </w:tabs>
              <w:spacing w:line="240" w:lineRule="auto"/>
              <w:ind w:right="113"/>
              <w:jc w:val="right"/>
              <w:rPr>
                <w:color w:val="581D74" w:themeColor="accent1"/>
                <w:spacing w:val="-2"/>
                <w:sz w:val="18"/>
                <w:szCs w:val="18"/>
              </w:rPr>
            </w:pPr>
            <w:r w:rsidRPr="00174DAD">
              <w:rPr>
                <w:color w:val="581D74" w:themeColor="accent1"/>
                <w:spacing w:val="-2"/>
                <w:sz w:val="18"/>
                <w:szCs w:val="18"/>
              </w:rPr>
              <w:t>-1,9 pt</w:t>
            </w:r>
          </w:p>
        </w:tc>
      </w:tr>
      <w:tr w:rsidR="00421480" w:rsidRPr="00811ECB" w:rsidTr="009F0686">
        <w:trPr>
          <w:trHeight w:val="340"/>
        </w:trPr>
        <w:tc>
          <w:tcPr>
            <w:tcW w:w="4139" w:type="dxa"/>
            <w:tcBorders>
              <w:bottom w:val="single" w:sz="12" w:space="0" w:color="A778AE" w:themeColor="accent2"/>
            </w:tcBorders>
            <w:vAlign w:val="center"/>
          </w:tcPr>
          <w:p w:rsidR="00421480" w:rsidRPr="00811ECB" w:rsidRDefault="00421480" w:rsidP="009F0686">
            <w:pPr>
              <w:tabs>
                <w:tab w:val="left" w:pos="336"/>
              </w:tabs>
              <w:spacing w:line="240" w:lineRule="auto"/>
              <w:ind w:left="113" w:right="113"/>
              <w:jc w:val="left"/>
              <w:rPr>
                <w:spacing w:val="-2"/>
                <w:sz w:val="18"/>
                <w:szCs w:val="18"/>
              </w:rPr>
            </w:pPr>
            <w:r w:rsidRPr="00811ECB">
              <w:rPr>
                <w:spacing w:val="-2"/>
                <w:sz w:val="18"/>
                <w:szCs w:val="18"/>
              </w:rPr>
              <w:t>ROE</w:t>
            </w:r>
            <w:r w:rsidRPr="00A25990">
              <w:rPr>
                <w:spacing w:val="-2"/>
                <w:sz w:val="18"/>
                <w:szCs w:val="18"/>
                <w:vertAlign w:val="superscript"/>
              </w:rPr>
              <w:t>***</w:t>
            </w:r>
            <w:r w:rsidR="00E94639">
              <w:rPr>
                <w:spacing w:val="-2"/>
                <w:sz w:val="18"/>
                <w:szCs w:val="18"/>
                <w:vertAlign w:val="superscript"/>
              </w:rPr>
              <w:t>*</w:t>
            </w:r>
          </w:p>
        </w:tc>
        <w:tc>
          <w:tcPr>
            <w:tcW w:w="1361" w:type="dxa"/>
            <w:tcBorders>
              <w:bottom w:val="single" w:sz="12" w:space="0" w:color="A778AE" w:themeColor="accent2"/>
            </w:tcBorders>
            <w:shd w:val="clear" w:color="auto" w:fill="D9D9D9" w:themeFill="background1" w:themeFillShade="D9"/>
            <w:vAlign w:val="center"/>
          </w:tcPr>
          <w:p w:rsidR="00421480" w:rsidRPr="00377693" w:rsidRDefault="00671337" w:rsidP="009F0686">
            <w:pPr>
              <w:tabs>
                <w:tab w:val="left" w:pos="336"/>
              </w:tabs>
              <w:spacing w:line="240" w:lineRule="auto"/>
              <w:ind w:right="113"/>
              <w:jc w:val="right"/>
              <w:rPr>
                <w:color w:val="581D74" w:themeColor="accent1"/>
                <w:spacing w:val="-2"/>
                <w:sz w:val="18"/>
                <w:szCs w:val="18"/>
              </w:rPr>
            </w:pPr>
            <w:r>
              <w:rPr>
                <w:color w:val="581D74" w:themeColor="accent1"/>
                <w:spacing w:val="-2"/>
                <w:sz w:val="18"/>
                <w:szCs w:val="18"/>
              </w:rPr>
              <w:t>6,8 %</w:t>
            </w:r>
          </w:p>
        </w:tc>
        <w:tc>
          <w:tcPr>
            <w:tcW w:w="1361" w:type="dxa"/>
            <w:tcBorders>
              <w:bottom w:val="single" w:sz="12" w:space="0" w:color="A778AE" w:themeColor="accent2"/>
            </w:tcBorders>
            <w:vAlign w:val="center"/>
          </w:tcPr>
          <w:p w:rsidR="00421480" w:rsidRPr="00FD1FEC" w:rsidRDefault="00034807" w:rsidP="009F0686">
            <w:pPr>
              <w:tabs>
                <w:tab w:val="left" w:pos="336"/>
              </w:tabs>
              <w:spacing w:line="240" w:lineRule="auto"/>
              <w:ind w:right="113"/>
              <w:jc w:val="right"/>
              <w:rPr>
                <w:color w:val="FF0000"/>
                <w:spacing w:val="-2"/>
                <w:sz w:val="18"/>
                <w:szCs w:val="18"/>
              </w:rPr>
            </w:pPr>
            <w:r>
              <w:rPr>
                <w:color w:val="581D74" w:themeColor="accent1"/>
                <w:spacing w:val="-2"/>
                <w:sz w:val="18"/>
                <w:szCs w:val="18"/>
              </w:rPr>
              <w:t xml:space="preserve">+ </w:t>
            </w:r>
            <w:r w:rsidR="00671337" w:rsidRPr="00671337">
              <w:rPr>
                <w:color w:val="581D74" w:themeColor="accent1"/>
                <w:spacing w:val="-2"/>
                <w:sz w:val="18"/>
                <w:szCs w:val="18"/>
              </w:rPr>
              <w:t>0,3 pt</w:t>
            </w:r>
          </w:p>
        </w:tc>
        <w:tc>
          <w:tcPr>
            <w:tcW w:w="113" w:type="dxa"/>
          </w:tcPr>
          <w:p w:rsidR="00421480" w:rsidRPr="00FD1FEC" w:rsidRDefault="00421480" w:rsidP="009F0686">
            <w:pPr>
              <w:tabs>
                <w:tab w:val="left" w:pos="336"/>
              </w:tabs>
              <w:spacing w:line="240" w:lineRule="auto"/>
              <w:rPr>
                <w:color w:val="FF0000"/>
                <w:spacing w:val="-2"/>
                <w:sz w:val="18"/>
                <w:szCs w:val="18"/>
              </w:rPr>
            </w:pPr>
          </w:p>
        </w:tc>
        <w:tc>
          <w:tcPr>
            <w:tcW w:w="1361" w:type="dxa"/>
            <w:tcBorders>
              <w:bottom w:val="single" w:sz="12" w:space="0" w:color="A778AE" w:themeColor="accent2"/>
            </w:tcBorders>
            <w:shd w:val="clear" w:color="auto" w:fill="D9D9D9" w:themeFill="background1" w:themeFillShade="D9"/>
            <w:vAlign w:val="center"/>
          </w:tcPr>
          <w:p w:rsidR="00421480" w:rsidRPr="00174DAD" w:rsidRDefault="00671337" w:rsidP="009F0686">
            <w:pPr>
              <w:tabs>
                <w:tab w:val="left" w:pos="336"/>
              </w:tabs>
              <w:spacing w:line="240" w:lineRule="auto"/>
              <w:ind w:right="113"/>
              <w:jc w:val="right"/>
              <w:rPr>
                <w:color w:val="581D74" w:themeColor="accent1"/>
                <w:spacing w:val="-2"/>
                <w:sz w:val="18"/>
                <w:szCs w:val="18"/>
              </w:rPr>
            </w:pPr>
            <w:r>
              <w:rPr>
                <w:color w:val="581D74" w:themeColor="accent1"/>
                <w:spacing w:val="-2"/>
                <w:sz w:val="18"/>
                <w:szCs w:val="18"/>
              </w:rPr>
              <w:t>11 %</w:t>
            </w:r>
          </w:p>
        </w:tc>
        <w:tc>
          <w:tcPr>
            <w:tcW w:w="1361" w:type="dxa"/>
            <w:tcBorders>
              <w:bottom w:val="single" w:sz="12" w:space="0" w:color="A778AE" w:themeColor="accent2"/>
            </w:tcBorders>
            <w:vAlign w:val="center"/>
          </w:tcPr>
          <w:p w:rsidR="00421480" w:rsidRPr="00174DAD" w:rsidRDefault="00034807" w:rsidP="009F0686">
            <w:pPr>
              <w:tabs>
                <w:tab w:val="left" w:pos="336"/>
              </w:tabs>
              <w:spacing w:line="240" w:lineRule="auto"/>
              <w:ind w:right="113"/>
              <w:jc w:val="right"/>
              <w:rPr>
                <w:color w:val="581D74" w:themeColor="accent1"/>
                <w:spacing w:val="-2"/>
                <w:sz w:val="18"/>
                <w:szCs w:val="18"/>
              </w:rPr>
            </w:pPr>
            <w:r>
              <w:rPr>
                <w:color w:val="581D74" w:themeColor="accent1"/>
                <w:spacing w:val="-2"/>
                <w:sz w:val="18"/>
                <w:szCs w:val="18"/>
              </w:rPr>
              <w:t xml:space="preserve">+ </w:t>
            </w:r>
            <w:r w:rsidR="00671337">
              <w:rPr>
                <w:color w:val="581D74" w:themeColor="accent1"/>
                <w:spacing w:val="-2"/>
                <w:sz w:val="18"/>
                <w:szCs w:val="18"/>
              </w:rPr>
              <w:t>2 pts</w:t>
            </w:r>
          </w:p>
        </w:tc>
      </w:tr>
      <w:tr w:rsidR="00421480" w:rsidRPr="00A80C42" w:rsidTr="009F0686">
        <w:trPr>
          <w:trHeight w:val="227"/>
        </w:trPr>
        <w:tc>
          <w:tcPr>
            <w:tcW w:w="4139" w:type="dxa"/>
            <w:tcBorders>
              <w:top w:val="single" w:sz="12" w:space="0" w:color="A778AE" w:themeColor="accent2"/>
            </w:tcBorders>
            <w:vAlign w:val="center"/>
          </w:tcPr>
          <w:p w:rsidR="00421480" w:rsidRPr="00A97BEA" w:rsidRDefault="00421480" w:rsidP="009F0686">
            <w:pPr>
              <w:tabs>
                <w:tab w:val="left" w:pos="336"/>
              </w:tabs>
              <w:spacing w:line="240" w:lineRule="auto"/>
              <w:ind w:left="113" w:right="113"/>
              <w:jc w:val="left"/>
              <w:rPr>
                <w:color w:val="581D74" w:themeColor="accent1"/>
                <w:spacing w:val="-2"/>
                <w:sz w:val="16"/>
                <w:szCs w:val="16"/>
              </w:rPr>
            </w:pPr>
          </w:p>
        </w:tc>
        <w:tc>
          <w:tcPr>
            <w:tcW w:w="1361" w:type="dxa"/>
            <w:tcBorders>
              <w:top w:val="single" w:sz="12" w:space="0" w:color="A778AE" w:themeColor="accent2"/>
            </w:tcBorders>
            <w:shd w:val="clear" w:color="auto" w:fill="D9D9D9" w:themeFill="background1" w:themeFillShade="D9"/>
            <w:vAlign w:val="center"/>
          </w:tcPr>
          <w:p w:rsidR="00421480" w:rsidRPr="00377693" w:rsidRDefault="00421480" w:rsidP="009F0686">
            <w:pPr>
              <w:tabs>
                <w:tab w:val="left" w:pos="336"/>
              </w:tabs>
              <w:spacing w:line="240" w:lineRule="auto"/>
              <w:ind w:right="113"/>
              <w:jc w:val="right"/>
              <w:rPr>
                <w:color w:val="581D74" w:themeColor="accent1"/>
                <w:spacing w:val="-2"/>
                <w:sz w:val="16"/>
                <w:szCs w:val="16"/>
              </w:rPr>
            </w:pPr>
          </w:p>
        </w:tc>
        <w:tc>
          <w:tcPr>
            <w:tcW w:w="1361" w:type="dxa"/>
            <w:tcBorders>
              <w:top w:val="single" w:sz="12" w:space="0" w:color="A778AE" w:themeColor="accent2"/>
            </w:tcBorders>
            <w:vAlign w:val="center"/>
          </w:tcPr>
          <w:p w:rsidR="00421480" w:rsidRPr="00FD1FEC" w:rsidRDefault="00421480" w:rsidP="009F0686">
            <w:pPr>
              <w:tabs>
                <w:tab w:val="left" w:pos="336"/>
              </w:tabs>
              <w:spacing w:line="240" w:lineRule="auto"/>
              <w:ind w:right="113"/>
              <w:jc w:val="right"/>
              <w:rPr>
                <w:color w:val="FF0000"/>
                <w:spacing w:val="-2"/>
                <w:sz w:val="16"/>
                <w:szCs w:val="16"/>
              </w:rPr>
            </w:pPr>
          </w:p>
        </w:tc>
        <w:tc>
          <w:tcPr>
            <w:tcW w:w="113" w:type="dxa"/>
          </w:tcPr>
          <w:p w:rsidR="00421480" w:rsidRPr="00FD1FEC" w:rsidRDefault="00421480" w:rsidP="009F0686">
            <w:pPr>
              <w:tabs>
                <w:tab w:val="left" w:pos="336"/>
              </w:tabs>
              <w:spacing w:line="240" w:lineRule="auto"/>
              <w:rPr>
                <w:color w:val="FF0000"/>
                <w:spacing w:val="-2"/>
                <w:sz w:val="16"/>
                <w:szCs w:val="16"/>
              </w:rPr>
            </w:pPr>
          </w:p>
        </w:tc>
        <w:tc>
          <w:tcPr>
            <w:tcW w:w="1361" w:type="dxa"/>
            <w:tcBorders>
              <w:top w:val="single" w:sz="12" w:space="0" w:color="A778AE" w:themeColor="accent2"/>
            </w:tcBorders>
            <w:shd w:val="clear" w:color="auto" w:fill="D9D9D9" w:themeFill="background1" w:themeFillShade="D9"/>
            <w:vAlign w:val="center"/>
          </w:tcPr>
          <w:p w:rsidR="00421480" w:rsidRPr="00174DAD" w:rsidRDefault="00421480" w:rsidP="009F0686">
            <w:pPr>
              <w:tabs>
                <w:tab w:val="left" w:pos="336"/>
              </w:tabs>
              <w:spacing w:line="240" w:lineRule="auto"/>
              <w:ind w:right="113"/>
              <w:jc w:val="right"/>
              <w:rPr>
                <w:color w:val="581D74" w:themeColor="accent1"/>
                <w:spacing w:val="-2"/>
                <w:sz w:val="16"/>
                <w:szCs w:val="16"/>
              </w:rPr>
            </w:pPr>
          </w:p>
        </w:tc>
        <w:tc>
          <w:tcPr>
            <w:tcW w:w="1361" w:type="dxa"/>
            <w:tcBorders>
              <w:top w:val="single" w:sz="12" w:space="0" w:color="A778AE" w:themeColor="accent2"/>
            </w:tcBorders>
            <w:vAlign w:val="center"/>
          </w:tcPr>
          <w:p w:rsidR="00421480" w:rsidRPr="00174DAD" w:rsidRDefault="00421480" w:rsidP="009F0686">
            <w:pPr>
              <w:tabs>
                <w:tab w:val="left" w:pos="336"/>
              </w:tabs>
              <w:spacing w:line="240" w:lineRule="auto"/>
              <w:ind w:right="113"/>
              <w:jc w:val="right"/>
              <w:rPr>
                <w:color w:val="581D74" w:themeColor="accent1"/>
                <w:spacing w:val="-2"/>
                <w:sz w:val="16"/>
                <w:szCs w:val="16"/>
              </w:rPr>
            </w:pPr>
          </w:p>
        </w:tc>
      </w:tr>
      <w:tr w:rsidR="00421480" w:rsidRPr="00A80C42" w:rsidTr="009F0686">
        <w:trPr>
          <w:trHeight w:val="397"/>
        </w:trPr>
        <w:tc>
          <w:tcPr>
            <w:tcW w:w="4139" w:type="dxa"/>
            <w:vAlign w:val="center"/>
          </w:tcPr>
          <w:p w:rsidR="00421480" w:rsidRPr="00D53FD6" w:rsidRDefault="00421480" w:rsidP="009F0686">
            <w:pPr>
              <w:tabs>
                <w:tab w:val="left" w:pos="336"/>
              </w:tabs>
              <w:spacing w:line="180" w:lineRule="exact"/>
              <w:ind w:left="113" w:right="113"/>
              <w:jc w:val="left"/>
              <w:rPr>
                <w:color w:val="581D74" w:themeColor="accent1"/>
                <w:spacing w:val="-2"/>
                <w:sz w:val="16"/>
                <w:szCs w:val="16"/>
              </w:rPr>
            </w:pPr>
            <w:r w:rsidRPr="00D53FD6">
              <w:rPr>
                <w:color w:val="581D74" w:themeColor="accent1"/>
                <w:spacing w:val="-2"/>
                <w:sz w:val="16"/>
                <w:szCs w:val="16"/>
              </w:rPr>
              <w:t xml:space="preserve">Impact en résultat net </w:t>
            </w:r>
            <w:r w:rsidR="008907D1">
              <w:rPr>
                <w:color w:val="581D74" w:themeColor="accent1"/>
                <w:spacing w:val="-2"/>
                <w:sz w:val="16"/>
                <w:szCs w:val="16"/>
              </w:rPr>
              <w:t xml:space="preserve">des </w:t>
            </w:r>
            <w:r w:rsidR="008907D1">
              <w:rPr>
                <w:color w:val="581D74" w:themeColor="accent1"/>
                <w:spacing w:val="-2"/>
                <w:sz w:val="16"/>
                <w:szCs w:val="16"/>
              </w:rPr>
              <w:t>éléments non économiques</w:t>
            </w:r>
            <w:r w:rsidR="008907D1">
              <w:rPr>
                <w:color w:val="581D74" w:themeColor="accent1"/>
                <w:spacing w:val="-2"/>
                <w:sz w:val="16"/>
                <w:szCs w:val="16"/>
              </w:rPr>
              <w:t xml:space="preserve"> et</w:t>
            </w:r>
            <w:r w:rsidR="008907D1">
              <w:rPr>
                <w:color w:val="581D74" w:themeColor="accent1"/>
                <w:spacing w:val="-2"/>
                <w:sz w:val="16"/>
                <w:szCs w:val="16"/>
              </w:rPr>
              <w:t xml:space="preserve"> </w:t>
            </w:r>
            <w:r>
              <w:rPr>
                <w:color w:val="581D74" w:themeColor="accent1"/>
                <w:spacing w:val="-2"/>
                <w:sz w:val="16"/>
                <w:szCs w:val="16"/>
              </w:rPr>
              <w:t>exceptionnels</w:t>
            </w:r>
          </w:p>
        </w:tc>
        <w:tc>
          <w:tcPr>
            <w:tcW w:w="1361" w:type="dxa"/>
            <w:shd w:val="clear" w:color="auto" w:fill="D9D9D9" w:themeFill="background1" w:themeFillShade="D9"/>
            <w:vAlign w:val="center"/>
          </w:tcPr>
          <w:p w:rsidR="00421480" w:rsidRPr="00377693" w:rsidRDefault="00421480" w:rsidP="00B35BB4">
            <w:pPr>
              <w:tabs>
                <w:tab w:val="left" w:pos="336"/>
              </w:tabs>
              <w:ind w:right="113"/>
              <w:jc w:val="right"/>
              <w:rPr>
                <w:color w:val="581D74" w:themeColor="accent1"/>
                <w:spacing w:val="-2"/>
                <w:sz w:val="16"/>
                <w:szCs w:val="16"/>
              </w:rPr>
            </w:pPr>
            <w:r w:rsidRPr="00377693">
              <w:rPr>
                <w:color w:val="581D74" w:themeColor="accent1"/>
                <w:spacing w:val="-2"/>
                <w:sz w:val="16"/>
                <w:szCs w:val="16"/>
              </w:rPr>
              <w:t>- 80</w:t>
            </w:r>
          </w:p>
        </w:tc>
        <w:tc>
          <w:tcPr>
            <w:tcW w:w="1361" w:type="dxa"/>
            <w:vAlign w:val="center"/>
          </w:tcPr>
          <w:p w:rsidR="00421480" w:rsidRPr="00FD1FEC" w:rsidRDefault="00421480" w:rsidP="009F0686">
            <w:pPr>
              <w:tabs>
                <w:tab w:val="left" w:pos="336"/>
              </w:tabs>
              <w:spacing w:line="240" w:lineRule="auto"/>
              <w:ind w:right="113"/>
              <w:jc w:val="right"/>
              <w:rPr>
                <w:color w:val="FF0000"/>
                <w:spacing w:val="-2"/>
                <w:sz w:val="16"/>
                <w:szCs w:val="16"/>
              </w:rPr>
            </w:pPr>
          </w:p>
        </w:tc>
        <w:tc>
          <w:tcPr>
            <w:tcW w:w="113" w:type="dxa"/>
          </w:tcPr>
          <w:p w:rsidR="00421480" w:rsidRPr="00FD1FEC" w:rsidRDefault="00421480" w:rsidP="009F0686">
            <w:pPr>
              <w:tabs>
                <w:tab w:val="left" w:pos="336"/>
              </w:tabs>
              <w:spacing w:line="240" w:lineRule="auto"/>
              <w:rPr>
                <w:color w:val="FF0000"/>
                <w:spacing w:val="-2"/>
                <w:sz w:val="16"/>
                <w:szCs w:val="16"/>
              </w:rPr>
            </w:pPr>
          </w:p>
        </w:tc>
        <w:tc>
          <w:tcPr>
            <w:tcW w:w="1361" w:type="dxa"/>
            <w:shd w:val="clear" w:color="auto" w:fill="D9D9D9" w:themeFill="background1" w:themeFillShade="D9"/>
            <w:vAlign w:val="center"/>
          </w:tcPr>
          <w:p w:rsidR="00421480" w:rsidRPr="00174DAD" w:rsidRDefault="00421480" w:rsidP="009F0686">
            <w:pPr>
              <w:tabs>
                <w:tab w:val="left" w:pos="336"/>
              </w:tabs>
              <w:spacing w:line="240" w:lineRule="auto"/>
              <w:ind w:right="113"/>
              <w:jc w:val="right"/>
              <w:rPr>
                <w:color w:val="581D74" w:themeColor="accent1"/>
                <w:spacing w:val="-2"/>
                <w:sz w:val="16"/>
                <w:szCs w:val="16"/>
              </w:rPr>
            </w:pPr>
          </w:p>
        </w:tc>
        <w:tc>
          <w:tcPr>
            <w:tcW w:w="1361" w:type="dxa"/>
            <w:vAlign w:val="center"/>
          </w:tcPr>
          <w:p w:rsidR="00421480" w:rsidRPr="00174DAD" w:rsidRDefault="00421480" w:rsidP="009F0686">
            <w:pPr>
              <w:tabs>
                <w:tab w:val="left" w:pos="336"/>
              </w:tabs>
              <w:spacing w:line="240" w:lineRule="auto"/>
              <w:ind w:right="113"/>
              <w:jc w:val="right"/>
              <w:rPr>
                <w:color w:val="581D74" w:themeColor="accent1"/>
                <w:spacing w:val="-2"/>
                <w:sz w:val="16"/>
                <w:szCs w:val="16"/>
              </w:rPr>
            </w:pPr>
          </w:p>
        </w:tc>
      </w:tr>
      <w:tr w:rsidR="00421480" w:rsidRPr="00A80C42" w:rsidTr="009F0686">
        <w:trPr>
          <w:trHeight w:val="283"/>
        </w:trPr>
        <w:tc>
          <w:tcPr>
            <w:tcW w:w="4139" w:type="dxa"/>
            <w:tcBorders>
              <w:bottom w:val="single" w:sz="12" w:space="0" w:color="A778AE" w:themeColor="accent2"/>
            </w:tcBorders>
            <w:vAlign w:val="center"/>
          </w:tcPr>
          <w:p w:rsidR="00421480" w:rsidRPr="006A27E4" w:rsidRDefault="00421480" w:rsidP="009F0686">
            <w:pPr>
              <w:tabs>
                <w:tab w:val="left" w:pos="336"/>
              </w:tabs>
              <w:spacing w:line="240" w:lineRule="auto"/>
              <w:ind w:left="113" w:right="113"/>
              <w:jc w:val="left"/>
              <w:rPr>
                <w:color w:val="581D74" w:themeColor="accent1"/>
                <w:spacing w:val="-4"/>
                <w:sz w:val="16"/>
                <w:szCs w:val="16"/>
              </w:rPr>
            </w:pPr>
            <w:r w:rsidRPr="006A27E4">
              <w:rPr>
                <w:color w:val="581D74" w:themeColor="accent1"/>
                <w:spacing w:val="-4"/>
                <w:sz w:val="16"/>
                <w:szCs w:val="16"/>
              </w:rPr>
              <w:t xml:space="preserve">Réintégration de l’impact IFRIC 21 </w:t>
            </w:r>
          </w:p>
        </w:tc>
        <w:tc>
          <w:tcPr>
            <w:tcW w:w="1361" w:type="dxa"/>
            <w:tcBorders>
              <w:bottom w:val="single" w:sz="12" w:space="0" w:color="A778AE" w:themeColor="accent2"/>
            </w:tcBorders>
            <w:shd w:val="clear" w:color="auto" w:fill="D9D9D9" w:themeFill="background1" w:themeFillShade="D9"/>
            <w:vAlign w:val="center"/>
          </w:tcPr>
          <w:p w:rsidR="00421480" w:rsidRPr="00377693" w:rsidRDefault="00421480" w:rsidP="00B35BB4">
            <w:pPr>
              <w:tabs>
                <w:tab w:val="left" w:pos="336"/>
              </w:tabs>
              <w:spacing w:line="240" w:lineRule="auto"/>
              <w:ind w:right="113"/>
              <w:jc w:val="right"/>
              <w:rPr>
                <w:color w:val="581D74" w:themeColor="accent1"/>
                <w:spacing w:val="-2"/>
                <w:sz w:val="16"/>
                <w:szCs w:val="16"/>
              </w:rPr>
            </w:pPr>
            <w:r w:rsidRPr="00377693">
              <w:rPr>
                <w:color w:val="581D74" w:themeColor="accent1"/>
                <w:spacing w:val="-2"/>
                <w:sz w:val="16"/>
                <w:szCs w:val="16"/>
              </w:rPr>
              <w:t>- 90</w:t>
            </w:r>
          </w:p>
        </w:tc>
        <w:tc>
          <w:tcPr>
            <w:tcW w:w="1361" w:type="dxa"/>
            <w:tcBorders>
              <w:bottom w:val="single" w:sz="12" w:space="0" w:color="A778AE" w:themeColor="accent2"/>
            </w:tcBorders>
            <w:vAlign w:val="center"/>
          </w:tcPr>
          <w:p w:rsidR="00421480" w:rsidRPr="00FD1FEC" w:rsidRDefault="00421480" w:rsidP="009F0686">
            <w:pPr>
              <w:tabs>
                <w:tab w:val="left" w:pos="336"/>
              </w:tabs>
              <w:spacing w:line="240" w:lineRule="auto"/>
              <w:ind w:right="113"/>
              <w:jc w:val="right"/>
              <w:rPr>
                <w:color w:val="FF0000"/>
                <w:spacing w:val="-2"/>
                <w:sz w:val="16"/>
                <w:szCs w:val="16"/>
              </w:rPr>
            </w:pPr>
          </w:p>
        </w:tc>
        <w:tc>
          <w:tcPr>
            <w:tcW w:w="113" w:type="dxa"/>
          </w:tcPr>
          <w:p w:rsidR="00421480" w:rsidRPr="00FD1FEC" w:rsidRDefault="00421480" w:rsidP="009F0686">
            <w:pPr>
              <w:tabs>
                <w:tab w:val="left" w:pos="336"/>
              </w:tabs>
              <w:spacing w:line="240" w:lineRule="auto"/>
              <w:rPr>
                <w:color w:val="FF0000"/>
                <w:spacing w:val="-2"/>
                <w:sz w:val="16"/>
                <w:szCs w:val="16"/>
              </w:rPr>
            </w:pPr>
          </w:p>
        </w:tc>
        <w:tc>
          <w:tcPr>
            <w:tcW w:w="1361" w:type="dxa"/>
            <w:tcBorders>
              <w:bottom w:val="single" w:sz="12" w:space="0" w:color="A778AE" w:themeColor="accent2"/>
            </w:tcBorders>
            <w:shd w:val="clear" w:color="auto" w:fill="D9D9D9" w:themeFill="background1" w:themeFillShade="D9"/>
            <w:vAlign w:val="center"/>
          </w:tcPr>
          <w:p w:rsidR="00421480" w:rsidRPr="00174DAD" w:rsidRDefault="00421480" w:rsidP="009F0686">
            <w:pPr>
              <w:tabs>
                <w:tab w:val="left" w:pos="336"/>
              </w:tabs>
              <w:spacing w:line="240" w:lineRule="auto"/>
              <w:ind w:right="113"/>
              <w:jc w:val="right"/>
              <w:rPr>
                <w:color w:val="581D74" w:themeColor="accent1"/>
                <w:spacing w:val="-2"/>
                <w:sz w:val="16"/>
                <w:szCs w:val="16"/>
              </w:rPr>
            </w:pPr>
            <w:r w:rsidRPr="00174DAD">
              <w:rPr>
                <w:color w:val="581D74" w:themeColor="accent1"/>
                <w:spacing w:val="-2"/>
                <w:sz w:val="16"/>
                <w:szCs w:val="16"/>
              </w:rPr>
              <w:t>- 83</w:t>
            </w:r>
          </w:p>
        </w:tc>
        <w:tc>
          <w:tcPr>
            <w:tcW w:w="1361" w:type="dxa"/>
            <w:tcBorders>
              <w:bottom w:val="single" w:sz="12" w:space="0" w:color="A778AE" w:themeColor="accent2"/>
            </w:tcBorders>
            <w:vAlign w:val="center"/>
          </w:tcPr>
          <w:p w:rsidR="00421480" w:rsidRPr="00174DAD" w:rsidRDefault="00421480" w:rsidP="009F0686">
            <w:pPr>
              <w:tabs>
                <w:tab w:val="left" w:pos="336"/>
              </w:tabs>
              <w:spacing w:line="240" w:lineRule="auto"/>
              <w:ind w:right="113"/>
              <w:jc w:val="right"/>
              <w:rPr>
                <w:color w:val="581D74" w:themeColor="accent1"/>
                <w:spacing w:val="-2"/>
                <w:sz w:val="16"/>
                <w:szCs w:val="16"/>
              </w:rPr>
            </w:pPr>
          </w:p>
        </w:tc>
      </w:tr>
      <w:tr w:rsidR="00421480" w:rsidRPr="00A80C42" w:rsidTr="009F0686">
        <w:trPr>
          <w:trHeight w:val="510"/>
        </w:trPr>
        <w:tc>
          <w:tcPr>
            <w:tcW w:w="4139" w:type="dxa"/>
            <w:tcBorders>
              <w:top w:val="single" w:sz="12" w:space="0" w:color="A778AE" w:themeColor="accent2"/>
              <w:bottom w:val="single" w:sz="12" w:space="0" w:color="A778AE" w:themeColor="accent2"/>
            </w:tcBorders>
            <w:vAlign w:val="center"/>
          </w:tcPr>
          <w:p w:rsidR="00421480" w:rsidRPr="00AA12BF" w:rsidRDefault="00421480" w:rsidP="009F0686">
            <w:pPr>
              <w:tabs>
                <w:tab w:val="left" w:pos="336"/>
              </w:tabs>
              <w:spacing w:line="240" w:lineRule="auto"/>
              <w:ind w:left="113" w:right="113"/>
              <w:jc w:val="left"/>
              <w:rPr>
                <w:b/>
                <w:spacing w:val="-2"/>
                <w:sz w:val="18"/>
                <w:szCs w:val="18"/>
              </w:rPr>
            </w:pPr>
            <w:r w:rsidRPr="00AA12BF">
              <w:rPr>
                <w:b/>
                <w:spacing w:val="-2"/>
                <w:sz w:val="18"/>
                <w:szCs w:val="18"/>
              </w:rPr>
              <w:t xml:space="preserve">Résultat net </w:t>
            </w:r>
            <w:r>
              <w:rPr>
                <w:b/>
                <w:spacing w:val="-2"/>
                <w:sz w:val="18"/>
                <w:szCs w:val="18"/>
              </w:rPr>
              <w:t>publié</w:t>
            </w:r>
          </w:p>
        </w:tc>
        <w:tc>
          <w:tcPr>
            <w:tcW w:w="1361" w:type="dxa"/>
            <w:tcBorders>
              <w:top w:val="single" w:sz="12" w:space="0" w:color="A778AE" w:themeColor="accent2"/>
              <w:bottom w:val="single" w:sz="12" w:space="0" w:color="A778AE" w:themeColor="accent2"/>
            </w:tcBorders>
            <w:shd w:val="clear" w:color="auto" w:fill="D9D9D9" w:themeFill="background1" w:themeFillShade="D9"/>
            <w:vAlign w:val="center"/>
          </w:tcPr>
          <w:p w:rsidR="00421480" w:rsidRPr="00377693" w:rsidRDefault="00421480" w:rsidP="009F0686">
            <w:pPr>
              <w:tabs>
                <w:tab w:val="left" w:pos="336"/>
              </w:tabs>
              <w:spacing w:line="240" w:lineRule="auto"/>
              <w:ind w:right="113"/>
              <w:jc w:val="right"/>
              <w:rPr>
                <w:b/>
                <w:color w:val="581D74" w:themeColor="accent1"/>
                <w:spacing w:val="-2"/>
                <w:sz w:val="18"/>
                <w:szCs w:val="18"/>
              </w:rPr>
            </w:pPr>
            <w:r w:rsidRPr="00377693">
              <w:rPr>
                <w:b/>
                <w:color w:val="581D74" w:themeColor="accent1"/>
                <w:spacing w:val="-2"/>
                <w:sz w:val="18"/>
                <w:szCs w:val="18"/>
              </w:rPr>
              <w:t>1 679</w:t>
            </w:r>
          </w:p>
        </w:tc>
        <w:tc>
          <w:tcPr>
            <w:tcW w:w="1361" w:type="dxa"/>
            <w:tcBorders>
              <w:top w:val="single" w:sz="12" w:space="0" w:color="A778AE" w:themeColor="accent2"/>
              <w:bottom w:val="single" w:sz="12" w:space="0" w:color="A778AE" w:themeColor="accent2"/>
            </w:tcBorders>
            <w:vAlign w:val="center"/>
          </w:tcPr>
          <w:p w:rsidR="00421480" w:rsidRPr="00FD1FEC" w:rsidRDefault="004910FD" w:rsidP="009F0686">
            <w:pPr>
              <w:tabs>
                <w:tab w:val="left" w:pos="336"/>
              </w:tabs>
              <w:spacing w:line="240" w:lineRule="auto"/>
              <w:ind w:right="113"/>
              <w:jc w:val="right"/>
              <w:rPr>
                <w:b/>
                <w:color w:val="FF0000"/>
                <w:spacing w:val="-2"/>
                <w:sz w:val="18"/>
                <w:szCs w:val="18"/>
              </w:rPr>
            </w:pPr>
            <w:r>
              <w:rPr>
                <w:b/>
                <w:color w:val="581D74" w:themeColor="accent1"/>
                <w:spacing w:val="-2"/>
                <w:sz w:val="18"/>
                <w:szCs w:val="18"/>
              </w:rPr>
              <w:t xml:space="preserve">+ </w:t>
            </w:r>
            <w:r w:rsidR="00421480" w:rsidRPr="00BD0549">
              <w:rPr>
                <w:b/>
                <w:color w:val="581D74" w:themeColor="accent1"/>
                <w:spacing w:val="-2"/>
                <w:sz w:val="18"/>
                <w:szCs w:val="18"/>
              </w:rPr>
              <w:t>6,4 %</w:t>
            </w:r>
          </w:p>
        </w:tc>
        <w:tc>
          <w:tcPr>
            <w:tcW w:w="113" w:type="dxa"/>
          </w:tcPr>
          <w:p w:rsidR="00421480" w:rsidRPr="00FD1FEC" w:rsidRDefault="00421480" w:rsidP="009F0686">
            <w:pPr>
              <w:tabs>
                <w:tab w:val="left" w:pos="336"/>
              </w:tabs>
              <w:spacing w:line="240" w:lineRule="auto"/>
              <w:rPr>
                <w:b/>
                <w:color w:val="FF0000"/>
                <w:spacing w:val="-2"/>
                <w:sz w:val="18"/>
                <w:szCs w:val="18"/>
              </w:rPr>
            </w:pPr>
          </w:p>
        </w:tc>
        <w:tc>
          <w:tcPr>
            <w:tcW w:w="1361" w:type="dxa"/>
            <w:tcBorders>
              <w:top w:val="single" w:sz="12" w:space="0" w:color="A778AE" w:themeColor="accent2"/>
              <w:bottom w:val="single" w:sz="12" w:space="0" w:color="A778AE" w:themeColor="accent2"/>
            </w:tcBorders>
            <w:shd w:val="clear" w:color="auto" w:fill="D9D9D9" w:themeFill="background1" w:themeFillShade="D9"/>
            <w:vAlign w:val="center"/>
          </w:tcPr>
          <w:p w:rsidR="00421480" w:rsidRPr="00174DAD" w:rsidRDefault="00421480" w:rsidP="009F0686">
            <w:pPr>
              <w:tabs>
                <w:tab w:val="left" w:pos="336"/>
              </w:tabs>
              <w:spacing w:line="240" w:lineRule="auto"/>
              <w:ind w:right="113"/>
              <w:jc w:val="right"/>
              <w:rPr>
                <w:b/>
                <w:color w:val="581D74" w:themeColor="accent1"/>
                <w:spacing w:val="-2"/>
                <w:sz w:val="18"/>
                <w:szCs w:val="18"/>
              </w:rPr>
            </w:pPr>
            <w:r w:rsidRPr="00174DAD">
              <w:rPr>
                <w:b/>
                <w:color w:val="581D74" w:themeColor="accent1"/>
                <w:spacing w:val="-2"/>
                <w:sz w:val="18"/>
                <w:szCs w:val="18"/>
              </w:rPr>
              <w:t>1 953</w:t>
            </w:r>
          </w:p>
        </w:tc>
        <w:tc>
          <w:tcPr>
            <w:tcW w:w="1361" w:type="dxa"/>
            <w:tcBorders>
              <w:top w:val="single" w:sz="12" w:space="0" w:color="A778AE" w:themeColor="accent2"/>
              <w:bottom w:val="single" w:sz="12" w:space="0" w:color="A778AE" w:themeColor="accent2"/>
            </w:tcBorders>
            <w:vAlign w:val="center"/>
          </w:tcPr>
          <w:p w:rsidR="00421480" w:rsidRPr="00174DAD" w:rsidRDefault="00421480" w:rsidP="009F0686">
            <w:pPr>
              <w:tabs>
                <w:tab w:val="left" w:pos="336"/>
              </w:tabs>
              <w:spacing w:line="240" w:lineRule="auto"/>
              <w:ind w:right="113"/>
              <w:jc w:val="right"/>
              <w:rPr>
                <w:b/>
                <w:color w:val="581D74" w:themeColor="accent1"/>
                <w:spacing w:val="-2"/>
                <w:sz w:val="18"/>
                <w:szCs w:val="18"/>
              </w:rPr>
            </w:pPr>
            <w:r w:rsidRPr="00174DAD">
              <w:rPr>
                <w:b/>
                <w:color w:val="581D74" w:themeColor="accent1"/>
                <w:spacing w:val="-2"/>
                <w:sz w:val="18"/>
                <w:szCs w:val="18"/>
              </w:rPr>
              <w:t>+ 15,8 %</w:t>
            </w:r>
          </w:p>
        </w:tc>
      </w:tr>
    </w:tbl>
    <w:p w:rsidR="00C17DA4" w:rsidRDefault="00C17DA4" w:rsidP="00696668"/>
    <w:p w:rsidR="00421480" w:rsidRPr="00FD1FEC" w:rsidRDefault="00421480" w:rsidP="00421480">
      <w:pPr>
        <w:tabs>
          <w:tab w:val="left" w:pos="336"/>
        </w:tabs>
        <w:ind w:left="330" w:hanging="330"/>
        <w:rPr>
          <w:color w:val="FF0000"/>
          <w:sz w:val="14"/>
          <w:szCs w:val="14"/>
        </w:rPr>
      </w:pPr>
    </w:p>
    <w:p w:rsidR="00421480" w:rsidRPr="00331AE2" w:rsidRDefault="00421480" w:rsidP="00421480">
      <w:pPr>
        <w:tabs>
          <w:tab w:val="left" w:pos="336"/>
        </w:tabs>
        <w:ind w:left="330" w:hanging="330"/>
        <w:rPr>
          <w:color w:val="581D74" w:themeColor="accent1"/>
          <w:sz w:val="14"/>
          <w:szCs w:val="14"/>
        </w:rPr>
      </w:pPr>
      <w:r w:rsidRPr="00331AE2">
        <w:rPr>
          <w:color w:val="581D74" w:themeColor="accent1"/>
          <w:sz w:val="14"/>
          <w:szCs w:val="14"/>
          <w:vertAlign w:val="superscript"/>
        </w:rPr>
        <w:t>*</w:t>
      </w:r>
      <w:r w:rsidRPr="00331AE2">
        <w:rPr>
          <w:color w:val="581D74" w:themeColor="accent1"/>
          <w:sz w:val="14"/>
          <w:szCs w:val="14"/>
        </w:rPr>
        <w:tab/>
      </w:r>
      <w:r w:rsidR="00D74A9A">
        <w:rPr>
          <w:color w:val="581D74" w:themeColor="accent1"/>
          <w:sz w:val="14"/>
          <w:szCs w:val="14"/>
        </w:rPr>
        <w:t>S1</w:t>
      </w:r>
      <w:r w:rsidRPr="00331AE2">
        <w:rPr>
          <w:color w:val="581D74" w:themeColor="accent1"/>
          <w:sz w:val="14"/>
          <w:szCs w:val="14"/>
        </w:rPr>
        <w:t>-14 pro forma, se reporter à la note méthodologique à la fin de ce communiqué de presse</w:t>
      </w:r>
    </w:p>
    <w:p w:rsidR="00421480" w:rsidRPr="00331AE2" w:rsidRDefault="00421480" w:rsidP="00421480">
      <w:pPr>
        <w:tabs>
          <w:tab w:val="left" w:pos="336"/>
        </w:tabs>
        <w:ind w:left="330" w:hanging="330"/>
        <w:rPr>
          <w:color w:val="581D74" w:themeColor="accent1"/>
          <w:sz w:val="14"/>
          <w:szCs w:val="14"/>
        </w:rPr>
      </w:pPr>
      <w:r w:rsidRPr="00331AE2">
        <w:rPr>
          <w:color w:val="581D74" w:themeColor="accent1"/>
          <w:sz w:val="14"/>
          <w:szCs w:val="14"/>
          <w:vertAlign w:val="superscript"/>
        </w:rPr>
        <w:t>**</w:t>
      </w:r>
      <w:r w:rsidRPr="00331AE2">
        <w:rPr>
          <w:color w:val="581D74" w:themeColor="accent1"/>
          <w:sz w:val="14"/>
          <w:szCs w:val="14"/>
        </w:rPr>
        <w:t xml:space="preserve"> </w:t>
      </w:r>
      <w:r w:rsidRPr="00331AE2">
        <w:rPr>
          <w:color w:val="581D74" w:themeColor="accent1"/>
          <w:sz w:val="14"/>
          <w:szCs w:val="14"/>
        </w:rPr>
        <w:tab/>
        <w:t xml:space="preserve">Les métiers cœurs sont la Banque commerciale et Assurance (avec notamment les réseaux Banque Populaire et Caisse d’Epargne </w:t>
      </w:r>
      <w:r w:rsidRPr="00331AE2">
        <w:rPr>
          <w:color w:val="581D74" w:themeColor="accent1"/>
          <w:sz w:val="14"/>
          <w:szCs w:val="14"/>
        </w:rPr>
        <w:tab/>
        <w:t xml:space="preserve">ainsi que le Crédit Foncier, la Banque Palatine et BPCE International et Outre-mer), la Banque de Grande Clientèle, l’Épargne et </w:t>
      </w:r>
      <w:r w:rsidRPr="00331AE2">
        <w:rPr>
          <w:color w:val="581D74" w:themeColor="accent1"/>
          <w:sz w:val="14"/>
          <w:szCs w:val="14"/>
        </w:rPr>
        <w:tab/>
        <w:t>les Services Financiers Spécialisés (Natixis)</w:t>
      </w:r>
      <w:r w:rsidRPr="00331AE2">
        <w:rPr>
          <w:color w:val="581D74" w:themeColor="accent1"/>
          <w:sz w:val="14"/>
          <w:szCs w:val="14"/>
        </w:rPr>
        <w:tab/>
      </w:r>
    </w:p>
    <w:p w:rsidR="00421480" w:rsidRDefault="00421480" w:rsidP="00421480">
      <w:pPr>
        <w:tabs>
          <w:tab w:val="left" w:pos="336"/>
        </w:tabs>
        <w:ind w:left="330" w:hanging="330"/>
        <w:rPr>
          <w:color w:val="581D74" w:themeColor="accent1"/>
          <w:sz w:val="14"/>
          <w:szCs w:val="14"/>
        </w:rPr>
      </w:pPr>
      <w:r w:rsidRPr="00331AE2">
        <w:rPr>
          <w:color w:val="581D74" w:themeColor="accent1"/>
          <w:sz w:val="14"/>
          <w:szCs w:val="14"/>
          <w:vertAlign w:val="superscript"/>
        </w:rPr>
        <w:t>***</w:t>
      </w:r>
      <w:r w:rsidRPr="00331AE2">
        <w:rPr>
          <w:color w:val="581D74" w:themeColor="accent1"/>
          <w:sz w:val="14"/>
          <w:szCs w:val="14"/>
          <w:vertAlign w:val="superscript"/>
        </w:rPr>
        <w:tab/>
      </w:r>
      <w:r w:rsidRPr="00331AE2">
        <w:rPr>
          <w:color w:val="581D74" w:themeColor="accent1"/>
          <w:sz w:val="14"/>
          <w:szCs w:val="14"/>
        </w:rPr>
        <w:t xml:space="preserve">Hors éléments </w:t>
      </w:r>
      <w:r w:rsidR="00E94639">
        <w:rPr>
          <w:color w:val="581D74" w:themeColor="accent1"/>
          <w:sz w:val="14"/>
          <w:szCs w:val="14"/>
        </w:rPr>
        <w:t xml:space="preserve">non économiques et </w:t>
      </w:r>
      <w:r w:rsidRPr="00331AE2">
        <w:rPr>
          <w:color w:val="581D74" w:themeColor="accent1"/>
          <w:sz w:val="14"/>
          <w:szCs w:val="14"/>
        </w:rPr>
        <w:t xml:space="preserve">exceptionnels </w:t>
      </w:r>
    </w:p>
    <w:p w:rsidR="00E94639" w:rsidRPr="00331AE2" w:rsidRDefault="00E94639" w:rsidP="00E94639">
      <w:pPr>
        <w:tabs>
          <w:tab w:val="left" w:pos="336"/>
        </w:tabs>
        <w:ind w:left="330" w:hanging="330"/>
        <w:rPr>
          <w:color w:val="581D74" w:themeColor="accent1"/>
          <w:sz w:val="14"/>
          <w:szCs w:val="14"/>
        </w:rPr>
      </w:pPr>
      <w:r w:rsidRPr="00CE4129">
        <w:rPr>
          <w:color w:val="581D74" w:themeColor="accent1"/>
          <w:sz w:val="14"/>
          <w:szCs w:val="14"/>
          <w:vertAlign w:val="superscript"/>
        </w:rPr>
        <w:t xml:space="preserve">**** </w:t>
      </w:r>
      <w:r>
        <w:rPr>
          <w:color w:val="581D74" w:themeColor="accent1"/>
          <w:sz w:val="14"/>
          <w:szCs w:val="14"/>
        </w:rPr>
        <w:tab/>
      </w:r>
      <w:r w:rsidRPr="00331AE2">
        <w:rPr>
          <w:color w:val="581D74" w:themeColor="accent1"/>
          <w:sz w:val="14"/>
          <w:szCs w:val="14"/>
        </w:rPr>
        <w:t xml:space="preserve">Hors éléments </w:t>
      </w:r>
      <w:r>
        <w:rPr>
          <w:color w:val="581D74" w:themeColor="accent1"/>
          <w:sz w:val="14"/>
          <w:szCs w:val="14"/>
        </w:rPr>
        <w:t xml:space="preserve">non économiques et </w:t>
      </w:r>
      <w:r w:rsidRPr="00331AE2">
        <w:rPr>
          <w:color w:val="581D74" w:themeColor="accent1"/>
          <w:sz w:val="14"/>
          <w:szCs w:val="14"/>
        </w:rPr>
        <w:t>exceptionnels</w:t>
      </w:r>
      <w:r>
        <w:rPr>
          <w:color w:val="581D74" w:themeColor="accent1"/>
          <w:sz w:val="14"/>
          <w:szCs w:val="14"/>
        </w:rPr>
        <w:t xml:space="preserve"> et hors impact IFRIC 21</w:t>
      </w:r>
    </w:p>
    <w:p w:rsidR="00E94639" w:rsidRPr="00331AE2" w:rsidRDefault="00E94639" w:rsidP="00421480">
      <w:pPr>
        <w:tabs>
          <w:tab w:val="left" w:pos="336"/>
        </w:tabs>
        <w:ind w:left="330" w:hanging="330"/>
        <w:rPr>
          <w:color w:val="581D74" w:themeColor="accent1"/>
          <w:sz w:val="14"/>
          <w:szCs w:val="14"/>
        </w:rPr>
      </w:pPr>
    </w:p>
    <w:p w:rsidR="00421480" w:rsidRDefault="00421480">
      <w:pPr>
        <w:jc w:val="left"/>
        <w:rPr>
          <w:rStyle w:val="orange"/>
          <w:b/>
          <w:spacing w:val="-4"/>
        </w:rPr>
      </w:pPr>
      <w:r>
        <w:rPr>
          <w:rStyle w:val="orange"/>
        </w:rPr>
        <w:br w:type="page"/>
      </w:r>
    </w:p>
    <w:p w:rsidR="00696668" w:rsidRPr="00415E6E" w:rsidRDefault="00696668" w:rsidP="00696668">
      <w:pPr>
        <w:pStyle w:val="3-Titre1"/>
      </w:pPr>
      <w:r w:rsidRPr="001C5D6B">
        <w:rPr>
          <w:rStyle w:val="orange"/>
        </w:rPr>
        <w:lastRenderedPageBreak/>
        <w:t>2.</w:t>
      </w:r>
      <w:r w:rsidRPr="00415E6E">
        <w:tab/>
      </w:r>
      <w:r w:rsidR="00460A89">
        <w:t>POURSUITE DU RENFORCEMENT DU BILAN</w:t>
      </w:r>
      <w:r w:rsidRPr="00415E6E">
        <w:t xml:space="preserve"> </w:t>
      </w:r>
      <w:r w:rsidR="004F4AB8">
        <w:t xml:space="preserve">AU </w:t>
      </w:r>
      <w:r w:rsidR="00990646">
        <w:t>DEUXI</w:t>
      </w:r>
      <w:r w:rsidR="006A24E6" w:rsidRPr="006A24E6">
        <w:t>È</w:t>
      </w:r>
      <w:r w:rsidR="00990646">
        <w:t>ME</w:t>
      </w:r>
      <w:r w:rsidR="004F4AB8">
        <w:t xml:space="preserve"> TRIMESTRE 2015</w:t>
      </w:r>
    </w:p>
    <w:p w:rsidR="00696668" w:rsidRPr="00FD1FEC" w:rsidRDefault="00696668" w:rsidP="00696668">
      <w:pPr>
        <w:pStyle w:val="3-Titre2"/>
        <w:rPr>
          <w:color w:val="FF0000"/>
        </w:rPr>
      </w:pPr>
      <w:r w:rsidRPr="00000638">
        <w:rPr>
          <w:rStyle w:val="orange"/>
        </w:rPr>
        <w:t>2.1</w:t>
      </w:r>
      <w:r w:rsidRPr="00000638">
        <w:tab/>
      </w:r>
      <w:r w:rsidR="002F7853" w:rsidRPr="00990646">
        <w:t xml:space="preserve">Un </w:t>
      </w:r>
      <w:r w:rsidR="00FF0891" w:rsidRPr="00990646">
        <w:t xml:space="preserve">ratio de CET1 et un </w:t>
      </w:r>
      <w:r w:rsidR="002F7853" w:rsidRPr="00990646">
        <w:t xml:space="preserve">ratio de solvabilité global en </w:t>
      </w:r>
      <w:r w:rsidR="00990646">
        <w:t>hausse</w:t>
      </w:r>
      <w:r w:rsidR="002F7853" w:rsidRPr="00990646">
        <w:t xml:space="preserve"> de </w:t>
      </w:r>
      <w:r w:rsidR="00990646">
        <w:t>2</w:t>
      </w:r>
      <w:r w:rsidR="002F7853" w:rsidRPr="00990646">
        <w:t>0 points de base</w:t>
      </w:r>
      <w:r w:rsidR="00FF0891" w:rsidRPr="00990646">
        <w:t xml:space="preserve"> au </w:t>
      </w:r>
      <w:r w:rsidR="00990646">
        <w:t xml:space="preserve">deuxième </w:t>
      </w:r>
      <w:r w:rsidR="00FF0891" w:rsidRPr="00990646">
        <w:t>trimestre 2015</w:t>
      </w:r>
    </w:p>
    <w:p w:rsidR="007577B6" w:rsidRPr="000B0254" w:rsidRDefault="007577B6" w:rsidP="007577B6">
      <w:pPr>
        <w:pStyle w:val="2-TEXTECOURANTcommuniqu"/>
        <w:rPr>
          <w:spacing w:val="0"/>
        </w:rPr>
      </w:pPr>
      <w:r w:rsidRPr="000B0254">
        <w:rPr>
          <w:spacing w:val="0"/>
        </w:rPr>
        <w:t>Le Groupe BPCE présente un niveau élevé d</w:t>
      </w:r>
      <w:r w:rsidR="0003184A" w:rsidRPr="000B0254">
        <w:rPr>
          <w:spacing w:val="0"/>
        </w:rPr>
        <w:t>e</w:t>
      </w:r>
      <w:r w:rsidRPr="000B0254">
        <w:rPr>
          <w:spacing w:val="0"/>
        </w:rPr>
        <w:t xml:space="preserve"> ratio de solvabilité global</w:t>
      </w:r>
      <w:bookmarkStart w:id="11" w:name="_Ref418506411"/>
      <w:r w:rsidR="00FF0891" w:rsidRPr="000B0254">
        <w:rPr>
          <w:rStyle w:val="Appelnotedebasdep"/>
          <w:spacing w:val="0"/>
        </w:rPr>
        <w:footnoteReference w:id="15"/>
      </w:r>
      <w:bookmarkEnd w:id="11"/>
      <w:r w:rsidRPr="000B0254">
        <w:rPr>
          <w:spacing w:val="0"/>
        </w:rPr>
        <w:t xml:space="preserve">, </w:t>
      </w:r>
      <w:r w:rsidR="00FF0891" w:rsidRPr="000B0254">
        <w:rPr>
          <w:spacing w:val="0"/>
        </w:rPr>
        <w:t xml:space="preserve">estimé </w:t>
      </w:r>
      <w:r w:rsidRPr="000B0254">
        <w:rPr>
          <w:spacing w:val="0"/>
        </w:rPr>
        <w:t>à 15,</w:t>
      </w:r>
      <w:r w:rsidR="00072298" w:rsidRPr="000B0254">
        <w:rPr>
          <w:spacing w:val="0"/>
        </w:rPr>
        <w:t>9</w:t>
      </w:r>
      <w:r w:rsidRPr="000B0254">
        <w:rPr>
          <w:spacing w:val="0"/>
        </w:rPr>
        <w:t xml:space="preserve"> % au 3</w:t>
      </w:r>
      <w:r w:rsidR="00072298" w:rsidRPr="000B0254">
        <w:rPr>
          <w:spacing w:val="0"/>
        </w:rPr>
        <w:t>0</w:t>
      </w:r>
      <w:r w:rsidR="0003184A" w:rsidRPr="000B0254">
        <w:rPr>
          <w:spacing w:val="0"/>
        </w:rPr>
        <w:t> </w:t>
      </w:r>
      <w:r w:rsidR="00072298" w:rsidRPr="000B0254">
        <w:rPr>
          <w:spacing w:val="0"/>
        </w:rPr>
        <w:t>juin</w:t>
      </w:r>
      <w:r w:rsidRPr="000B0254">
        <w:rPr>
          <w:spacing w:val="0"/>
        </w:rPr>
        <w:t xml:space="preserve"> 2015, en augmentation de </w:t>
      </w:r>
      <w:r w:rsidR="00E16793" w:rsidRPr="000B0254">
        <w:rPr>
          <w:spacing w:val="0"/>
        </w:rPr>
        <w:t xml:space="preserve">20 points de base par rapport au 31 mars 2015 et de </w:t>
      </w:r>
      <w:r w:rsidR="00BB64E7" w:rsidRPr="000B0254">
        <w:rPr>
          <w:spacing w:val="0"/>
        </w:rPr>
        <w:t>3</w:t>
      </w:r>
      <w:r w:rsidR="008B1FF9">
        <w:rPr>
          <w:spacing w:val="0"/>
        </w:rPr>
        <w:t>0 </w:t>
      </w:r>
      <w:r w:rsidRPr="000B0254">
        <w:rPr>
          <w:spacing w:val="0"/>
        </w:rPr>
        <w:t>points de base par rapport au 3</w:t>
      </w:r>
      <w:r w:rsidR="00BB64E7" w:rsidRPr="000B0254">
        <w:rPr>
          <w:spacing w:val="0"/>
        </w:rPr>
        <w:t>1 décembre</w:t>
      </w:r>
      <w:r w:rsidR="00072298" w:rsidRPr="000B0254">
        <w:rPr>
          <w:spacing w:val="0"/>
        </w:rPr>
        <w:t xml:space="preserve"> 201</w:t>
      </w:r>
      <w:r w:rsidR="00B7791F" w:rsidRPr="000B0254">
        <w:rPr>
          <w:spacing w:val="0"/>
        </w:rPr>
        <w:t>4</w:t>
      </w:r>
      <w:r w:rsidRPr="000B0254">
        <w:rPr>
          <w:spacing w:val="0"/>
        </w:rPr>
        <w:t>.</w:t>
      </w:r>
    </w:p>
    <w:p w:rsidR="005D181C" w:rsidRPr="000B0254" w:rsidRDefault="005D181C" w:rsidP="00696668">
      <w:pPr>
        <w:pStyle w:val="2-TEXTECOURANTcommuniqu"/>
        <w:rPr>
          <w:color w:val="FF0000"/>
          <w:spacing w:val="0"/>
        </w:rPr>
      </w:pPr>
    </w:p>
    <w:p w:rsidR="00791077" w:rsidRPr="000B0254" w:rsidRDefault="00FF0891" w:rsidP="00791077">
      <w:pPr>
        <w:pStyle w:val="2-TEXTECOURANTcommuniqu"/>
        <w:rPr>
          <w:color w:val="FF0000"/>
          <w:spacing w:val="0"/>
        </w:rPr>
      </w:pPr>
      <w:r w:rsidRPr="000B0254">
        <w:rPr>
          <w:spacing w:val="0"/>
        </w:rPr>
        <w:t>Co</w:t>
      </w:r>
      <w:r w:rsidR="005D181C" w:rsidRPr="000B0254">
        <w:rPr>
          <w:spacing w:val="0"/>
        </w:rPr>
        <w:t xml:space="preserve">nformément aux priorités du </w:t>
      </w:r>
      <w:r w:rsidRPr="000B0254">
        <w:rPr>
          <w:spacing w:val="0"/>
        </w:rPr>
        <w:t>g</w:t>
      </w:r>
      <w:r w:rsidR="005D181C" w:rsidRPr="000B0254">
        <w:rPr>
          <w:spacing w:val="0"/>
        </w:rPr>
        <w:t>roupe en matière de capital réglementaire, l</w:t>
      </w:r>
      <w:r w:rsidR="00696668" w:rsidRPr="000B0254">
        <w:rPr>
          <w:spacing w:val="0"/>
        </w:rPr>
        <w:t xml:space="preserve">es fonds propres </w:t>
      </w:r>
      <w:r w:rsidR="003C6CD3" w:rsidRPr="000B0254">
        <w:rPr>
          <w:spacing w:val="0"/>
        </w:rPr>
        <w:t>globaux</w:t>
      </w:r>
      <w:r w:rsidR="00696668" w:rsidRPr="000B0254">
        <w:rPr>
          <w:spacing w:val="0"/>
        </w:rPr>
        <w:t xml:space="preserve"> ont augmenté de </w:t>
      </w:r>
      <w:r w:rsidR="003C6CD3" w:rsidRPr="000B0254">
        <w:rPr>
          <w:spacing w:val="0"/>
        </w:rPr>
        <w:t>1</w:t>
      </w:r>
      <w:r w:rsidR="005639D9" w:rsidRPr="000B0254">
        <w:rPr>
          <w:spacing w:val="0"/>
        </w:rPr>
        <w:t>,</w:t>
      </w:r>
      <w:r w:rsidR="00BB64E7" w:rsidRPr="000B0254">
        <w:rPr>
          <w:spacing w:val="0"/>
        </w:rPr>
        <w:t>7</w:t>
      </w:r>
      <w:r w:rsidR="00105F42" w:rsidRPr="000B0254">
        <w:rPr>
          <w:spacing w:val="0"/>
        </w:rPr>
        <w:t> </w:t>
      </w:r>
      <w:r w:rsidR="00696668" w:rsidRPr="000B0254">
        <w:rPr>
          <w:spacing w:val="0"/>
        </w:rPr>
        <w:t xml:space="preserve">milliard d’euros </w:t>
      </w:r>
      <w:r w:rsidR="00014DA1" w:rsidRPr="000B0254">
        <w:rPr>
          <w:spacing w:val="0"/>
        </w:rPr>
        <w:t xml:space="preserve">durant le </w:t>
      </w:r>
      <w:r w:rsidR="007C7DB2" w:rsidRPr="000B0254">
        <w:rPr>
          <w:spacing w:val="0"/>
        </w:rPr>
        <w:t xml:space="preserve">premier </w:t>
      </w:r>
      <w:r w:rsidR="00BB64E7" w:rsidRPr="000B0254">
        <w:rPr>
          <w:spacing w:val="0"/>
        </w:rPr>
        <w:t>semestre</w:t>
      </w:r>
      <w:r w:rsidR="007C7DB2" w:rsidRPr="000B0254">
        <w:rPr>
          <w:spacing w:val="0"/>
        </w:rPr>
        <w:t xml:space="preserve"> 2015</w:t>
      </w:r>
      <w:r w:rsidR="005639D9" w:rsidRPr="000B0254">
        <w:rPr>
          <w:spacing w:val="0"/>
        </w:rPr>
        <w:t xml:space="preserve">, </w:t>
      </w:r>
      <w:r w:rsidR="00696668" w:rsidRPr="000B0254">
        <w:rPr>
          <w:spacing w:val="0"/>
        </w:rPr>
        <w:t>pas</w:t>
      </w:r>
      <w:r w:rsidR="0065290A" w:rsidRPr="000B0254">
        <w:rPr>
          <w:spacing w:val="0"/>
        </w:rPr>
        <w:t xml:space="preserve">sant de </w:t>
      </w:r>
      <w:r w:rsidR="003C6CD3" w:rsidRPr="000B0254">
        <w:rPr>
          <w:spacing w:val="0"/>
        </w:rPr>
        <w:t>61</w:t>
      </w:r>
      <w:r w:rsidR="005639D9" w:rsidRPr="000B0254">
        <w:rPr>
          <w:spacing w:val="0"/>
        </w:rPr>
        <w:t>,</w:t>
      </w:r>
      <w:r w:rsidR="003C6CD3" w:rsidRPr="000B0254">
        <w:rPr>
          <w:spacing w:val="0"/>
        </w:rPr>
        <w:t>2</w:t>
      </w:r>
      <w:r w:rsidR="00D6027C" w:rsidRPr="000B0254">
        <w:rPr>
          <w:spacing w:val="0"/>
        </w:rPr>
        <w:t> </w:t>
      </w:r>
      <w:r w:rsidR="0065290A" w:rsidRPr="000B0254">
        <w:rPr>
          <w:spacing w:val="0"/>
        </w:rPr>
        <w:t>milliards d’euros</w:t>
      </w:r>
      <w:r w:rsidR="00105F42" w:rsidRPr="000B0254">
        <w:rPr>
          <w:spacing w:val="0"/>
        </w:rPr>
        <w:t xml:space="preserve"> </w:t>
      </w:r>
      <w:r w:rsidR="005639D9" w:rsidRPr="000B0254">
        <w:rPr>
          <w:spacing w:val="0"/>
        </w:rPr>
        <w:t>au 31 décembre 201</w:t>
      </w:r>
      <w:r w:rsidR="003C6CD3" w:rsidRPr="000B0254">
        <w:rPr>
          <w:spacing w:val="0"/>
        </w:rPr>
        <w:t>4</w:t>
      </w:r>
      <w:r w:rsidR="005639D9" w:rsidRPr="000B0254">
        <w:rPr>
          <w:spacing w:val="0"/>
        </w:rPr>
        <w:t xml:space="preserve"> à </w:t>
      </w:r>
      <w:r w:rsidR="003C6CD3" w:rsidRPr="000B0254">
        <w:rPr>
          <w:spacing w:val="0"/>
        </w:rPr>
        <w:t>62</w:t>
      </w:r>
      <w:r w:rsidR="005639D9" w:rsidRPr="000B0254">
        <w:rPr>
          <w:spacing w:val="0"/>
        </w:rPr>
        <w:t>,</w:t>
      </w:r>
      <w:r w:rsidR="00BB64E7" w:rsidRPr="000B0254">
        <w:rPr>
          <w:spacing w:val="0"/>
        </w:rPr>
        <w:t>9</w:t>
      </w:r>
      <w:r w:rsidR="00105F42" w:rsidRPr="000B0254">
        <w:rPr>
          <w:spacing w:val="0"/>
        </w:rPr>
        <w:t> </w:t>
      </w:r>
      <w:r w:rsidR="00696668" w:rsidRPr="000B0254">
        <w:rPr>
          <w:spacing w:val="0"/>
        </w:rPr>
        <w:t xml:space="preserve">milliards d’euros </w:t>
      </w:r>
      <w:r w:rsidR="000B53D1" w:rsidRPr="000B0254">
        <w:rPr>
          <w:spacing w:val="0"/>
        </w:rPr>
        <w:t xml:space="preserve">estimés </w:t>
      </w:r>
      <w:r w:rsidR="00696668" w:rsidRPr="000B0254">
        <w:rPr>
          <w:spacing w:val="0"/>
        </w:rPr>
        <w:t>au</w:t>
      </w:r>
      <w:r w:rsidR="00105F42" w:rsidRPr="000B0254">
        <w:rPr>
          <w:spacing w:val="0"/>
        </w:rPr>
        <w:t xml:space="preserve"> 3</w:t>
      </w:r>
      <w:r w:rsidR="00BB64E7" w:rsidRPr="000B0254">
        <w:rPr>
          <w:spacing w:val="0"/>
        </w:rPr>
        <w:t>0</w:t>
      </w:r>
      <w:r w:rsidR="00105F42" w:rsidRPr="000B0254">
        <w:rPr>
          <w:spacing w:val="0"/>
        </w:rPr>
        <w:t xml:space="preserve"> </w:t>
      </w:r>
      <w:r w:rsidR="00BB64E7" w:rsidRPr="000B0254">
        <w:rPr>
          <w:spacing w:val="0"/>
        </w:rPr>
        <w:t>juin</w:t>
      </w:r>
      <w:r w:rsidR="005639D9" w:rsidRPr="000B0254">
        <w:rPr>
          <w:spacing w:val="0"/>
        </w:rPr>
        <w:t xml:space="preserve"> 2015</w:t>
      </w:r>
      <w:r w:rsidR="0003184A" w:rsidRPr="000B0254">
        <w:rPr>
          <w:spacing w:val="0"/>
        </w:rPr>
        <w:t>.</w:t>
      </w:r>
      <w:r w:rsidR="00105F42" w:rsidRPr="000B0254">
        <w:rPr>
          <w:spacing w:val="0"/>
        </w:rPr>
        <w:t xml:space="preserve"> </w:t>
      </w:r>
      <w:r w:rsidR="008814E1" w:rsidRPr="000B0254">
        <w:rPr>
          <w:spacing w:val="0"/>
        </w:rPr>
        <w:t xml:space="preserve">La progression des </w:t>
      </w:r>
      <w:r w:rsidR="007577B6" w:rsidRPr="000B0254">
        <w:rPr>
          <w:spacing w:val="0"/>
        </w:rPr>
        <w:t xml:space="preserve">fonds propres globaux est </w:t>
      </w:r>
      <w:r w:rsidR="003C6CD3" w:rsidRPr="000B0254">
        <w:rPr>
          <w:spacing w:val="0"/>
        </w:rPr>
        <w:t xml:space="preserve">liée en </w:t>
      </w:r>
      <w:r w:rsidR="00373E01" w:rsidRPr="000B0254">
        <w:rPr>
          <w:spacing w:val="0"/>
        </w:rPr>
        <w:t xml:space="preserve">grande </w:t>
      </w:r>
      <w:r w:rsidR="00D1325E" w:rsidRPr="000B0254">
        <w:rPr>
          <w:spacing w:val="0"/>
        </w:rPr>
        <w:t>majorité</w:t>
      </w:r>
      <w:r w:rsidR="003C6CD3" w:rsidRPr="000B0254">
        <w:rPr>
          <w:spacing w:val="0"/>
        </w:rPr>
        <w:t xml:space="preserve"> </w:t>
      </w:r>
      <w:r w:rsidR="005D181C" w:rsidRPr="000B0254">
        <w:rPr>
          <w:spacing w:val="0"/>
        </w:rPr>
        <w:t xml:space="preserve">à </w:t>
      </w:r>
      <w:r w:rsidR="008814E1" w:rsidRPr="000B0254">
        <w:rPr>
          <w:spacing w:val="0"/>
        </w:rPr>
        <w:t>la hausse d</w:t>
      </w:r>
      <w:r w:rsidR="005D181C" w:rsidRPr="000B0254">
        <w:rPr>
          <w:spacing w:val="0"/>
        </w:rPr>
        <w:t xml:space="preserve">u </w:t>
      </w:r>
      <w:r w:rsidR="005D181C" w:rsidRPr="00EB02C3">
        <w:rPr>
          <w:i/>
          <w:spacing w:val="0"/>
        </w:rPr>
        <w:t>C</w:t>
      </w:r>
      <w:r w:rsidR="00D1325E" w:rsidRPr="00EB02C3">
        <w:rPr>
          <w:i/>
          <w:spacing w:val="0"/>
        </w:rPr>
        <w:t>ommon Equity Tier </w:t>
      </w:r>
      <w:r w:rsidR="001124DB" w:rsidRPr="00EB02C3">
        <w:rPr>
          <w:i/>
          <w:spacing w:val="0"/>
        </w:rPr>
        <w:t>1</w:t>
      </w:r>
      <w:r w:rsidR="001124DB" w:rsidRPr="000B0254">
        <w:rPr>
          <w:spacing w:val="0"/>
        </w:rPr>
        <w:t xml:space="preserve"> </w:t>
      </w:r>
      <w:r w:rsidR="00D1325E" w:rsidRPr="000B0254">
        <w:rPr>
          <w:spacing w:val="0"/>
        </w:rPr>
        <w:t>ou CET 1</w:t>
      </w:r>
      <w:r w:rsidR="0003184A" w:rsidRPr="000B0254">
        <w:rPr>
          <w:spacing w:val="0"/>
        </w:rPr>
        <w:t> </w:t>
      </w:r>
      <w:r w:rsidR="005D181C" w:rsidRPr="000B0254">
        <w:rPr>
          <w:spacing w:val="0"/>
        </w:rPr>
        <w:t>(</w:t>
      </w:r>
      <w:r w:rsidR="001124DB" w:rsidRPr="000B0254">
        <w:rPr>
          <w:spacing w:val="0"/>
        </w:rPr>
        <w:t>1,</w:t>
      </w:r>
      <w:r w:rsidR="001810E2" w:rsidRPr="000B0254">
        <w:rPr>
          <w:spacing w:val="0"/>
        </w:rPr>
        <w:t>6</w:t>
      </w:r>
      <w:r w:rsidR="001124DB" w:rsidRPr="000B0254">
        <w:rPr>
          <w:spacing w:val="0"/>
        </w:rPr>
        <w:t> milliard d’euros)</w:t>
      </w:r>
      <w:r w:rsidR="00D1325E" w:rsidRPr="000B0254">
        <w:rPr>
          <w:spacing w:val="0"/>
        </w:rPr>
        <w:t xml:space="preserve"> puisque l</w:t>
      </w:r>
      <w:r w:rsidR="00791077" w:rsidRPr="000B0254">
        <w:rPr>
          <w:spacing w:val="0"/>
        </w:rPr>
        <w:t>es émissions de Tier 2 ont compensé</w:t>
      </w:r>
      <w:r w:rsidR="0003184A" w:rsidRPr="000B0254">
        <w:rPr>
          <w:spacing w:val="0"/>
        </w:rPr>
        <w:t xml:space="preserve"> la baisse, pour</w:t>
      </w:r>
      <w:r w:rsidR="00D1325E" w:rsidRPr="000B0254">
        <w:rPr>
          <w:spacing w:val="0"/>
        </w:rPr>
        <w:t xml:space="preserve"> </w:t>
      </w:r>
      <w:r w:rsidR="00791077" w:rsidRPr="000B0254">
        <w:rPr>
          <w:spacing w:val="0"/>
        </w:rPr>
        <w:t>le même montant</w:t>
      </w:r>
      <w:r w:rsidR="00D1325E" w:rsidRPr="000B0254">
        <w:rPr>
          <w:spacing w:val="0"/>
        </w:rPr>
        <w:t xml:space="preserve"> (1,6 milliard d’euros)</w:t>
      </w:r>
      <w:r w:rsidR="00791077" w:rsidRPr="000B0254">
        <w:rPr>
          <w:spacing w:val="0"/>
        </w:rPr>
        <w:t>, des fonds propres additionnels de catégorie 1 (AT1)</w:t>
      </w:r>
      <w:r w:rsidR="000B0254" w:rsidRPr="000B0254">
        <w:rPr>
          <w:spacing w:val="0"/>
        </w:rPr>
        <w:t>,</w:t>
      </w:r>
      <w:r w:rsidR="00B74F1A" w:rsidRPr="000B0254">
        <w:rPr>
          <w:spacing w:val="0"/>
        </w:rPr>
        <w:t xml:space="preserve"> </w:t>
      </w:r>
      <w:r w:rsidR="008E6318">
        <w:rPr>
          <w:spacing w:val="0"/>
        </w:rPr>
        <w:t>à la suite de</w:t>
      </w:r>
      <w:r w:rsidR="00B74F1A" w:rsidRPr="000B0254">
        <w:rPr>
          <w:spacing w:val="0"/>
        </w:rPr>
        <w:t xml:space="preserve"> </w:t>
      </w:r>
      <w:r w:rsidR="00791077" w:rsidRPr="000B0254">
        <w:rPr>
          <w:spacing w:val="0"/>
        </w:rPr>
        <w:t>l’exercice de calls sur d’anciennes émissions de Tier 1 hybrides.</w:t>
      </w:r>
      <w:r w:rsidR="0003184A" w:rsidRPr="000B0254">
        <w:rPr>
          <w:spacing w:val="0"/>
        </w:rPr>
        <w:t xml:space="preserve"> Au 30</w:t>
      </w:r>
      <w:r w:rsidR="0003593A" w:rsidRPr="000B0254">
        <w:rPr>
          <w:spacing w:val="0"/>
        </w:rPr>
        <w:t> </w:t>
      </w:r>
      <w:r w:rsidR="0003184A" w:rsidRPr="000B0254">
        <w:rPr>
          <w:spacing w:val="0"/>
        </w:rPr>
        <w:t>juin 2015, les fonds propres CET1</w:t>
      </w:r>
      <w:r w:rsidR="00791077" w:rsidRPr="000B0254">
        <w:rPr>
          <w:spacing w:val="0"/>
        </w:rPr>
        <w:t xml:space="preserve"> </w:t>
      </w:r>
      <w:r w:rsidR="000B53D1" w:rsidRPr="000B0254">
        <w:rPr>
          <w:spacing w:val="0"/>
        </w:rPr>
        <w:t xml:space="preserve">sont estimés </w:t>
      </w:r>
      <w:r w:rsidR="0003184A" w:rsidRPr="000B0254">
        <w:rPr>
          <w:spacing w:val="0"/>
        </w:rPr>
        <w:t>à 48,9 milliards d’euros, contre 47,3</w:t>
      </w:r>
      <w:r w:rsidR="000B0254" w:rsidRPr="000B0254">
        <w:rPr>
          <w:spacing w:val="0"/>
        </w:rPr>
        <w:t> </w:t>
      </w:r>
      <w:r w:rsidR="0003184A" w:rsidRPr="000B0254">
        <w:rPr>
          <w:spacing w:val="0"/>
        </w:rPr>
        <w:t>milliards d’euros au 31 décembre 2014.</w:t>
      </w:r>
    </w:p>
    <w:p w:rsidR="00791077" w:rsidRPr="000B0254" w:rsidRDefault="00791077" w:rsidP="00140952">
      <w:pPr>
        <w:pStyle w:val="2-TEXTECOURANTcommuniqu"/>
        <w:rPr>
          <w:color w:val="FF0000"/>
          <w:spacing w:val="0"/>
        </w:rPr>
      </w:pPr>
    </w:p>
    <w:p w:rsidR="001124DB" w:rsidRPr="000B0254" w:rsidRDefault="001124DB" w:rsidP="00140952">
      <w:pPr>
        <w:pStyle w:val="2-TEXTECOURANTcommuniqu"/>
        <w:rPr>
          <w:spacing w:val="0"/>
        </w:rPr>
      </w:pPr>
      <w:r w:rsidRPr="000B0254">
        <w:rPr>
          <w:spacing w:val="0"/>
        </w:rPr>
        <w:t>La solvabilité du Groupe BPCE continue de progresser</w:t>
      </w:r>
      <w:r w:rsidR="00A27C22" w:rsidRPr="000B0254">
        <w:rPr>
          <w:spacing w:val="0"/>
        </w:rPr>
        <w:t xml:space="preserve"> au </w:t>
      </w:r>
      <w:r w:rsidR="00110FC2" w:rsidRPr="000B0254">
        <w:rPr>
          <w:spacing w:val="0"/>
        </w:rPr>
        <w:t>deuxième</w:t>
      </w:r>
      <w:r w:rsidR="00A27C22" w:rsidRPr="000B0254">
        <w:rPr>
          <w:spacing w:val="0"/>
        </w:rPr>
        <w:t xml:space="preserve"> trimestre 2015 </w:t>
      </w:r>
      <w:r w:rsidRPr="000B0254">
        <w:rPr>
          <w:spacing w:val="0"/>
        </w:rPr>
        <w:t>avec un ratio de CET1 (Bâle 3) estimé à 12,</w:t>
      </w:r>
      <w:r w:rsidR="00110FC2" w:rsidRPr="000B0254">
        <w:rPr>
          <w:spacing w:val="0"/>
        </w:rPr>
        <w:t>4</w:t>
      </w:r>
      <w:r w:rsidRPr="000B0254">
        <w:rPr>
          <w:spacing w:val="0"/>
        </w:rPr>
        <w:t> %</w:t>
      </w:r>
      <w:r w:rsidR="001C44B6" w:rsidRPr="000B0254">
        <w:rPr>
          <w:spacing w:val="0"/>
        </w:rPr>
        <w:fldChar w:fldCharType="begin"/>
      </w:r>
      <w:r w:rsidR="001C44B6" w:rsidRPr="000B0254">
        <w:rPr>
          <w:spacing w:val="0"/>
        </w:rPr>
        <w:instrText xml:space="preserve"> NOTEREF _Ref418506411 \f \h </w:instrText>
      </w:r>
      <w:r w:rsidR="000B0254">
        <w:rPr>
          <w:spacing w:val="0"/>
        </w:rPr>
        <w:instrText xml:space="preserve"> \* MERGEFORMAT </w:instrText>
      </w:r>
      <w:r w:rsidR="001C44B6" w:rsidRPr="000B0254">
        <w:rPr>
          <w:spacing w:val="0"/>
        </w:rPr>
      </w:r>
      <w:r w:rsidR="001C44B6" w:rsidRPr="000B0254">
        <w:rPr>
          <w:spacing w:val="0"/>
        </w:rPr>
        <w:fldChar w:fldCharType="separate"/>
      </w:r>
      <w:r w:rsidR="00A92C86" w:rsidRPr="00A92C86">
        <w:rPr>
          <w:rStyle w:val="Appelnotedebasdep"/>
        </w:rPr>
        <w:t>15</w:t>
      </w:r>
      <w:r w:rsidR="001C44B6" w:rsidRPr="000B0254">
        <w:rPr>
          <w:spacing w:val="0"/>
        </w:rPr>
        <w:fldChar w:fldCharType="end"/>
      </w:r>
      <w:r w:rsidRPr="000B0254">
        <w:rPr>
          <w:spacing w:val="0"/>
        </w:rPr>
        <w:t xml:space="preserve"> au 3</w:t>
      </w:r>
      <w:r w:rsidR="00110FC2" w:rsidRPr="000B0254">
        <w:rPr>
          <w:spacing w:val="0"/>
        </w:rPr>
        <w:t>0</w:t>
      </w:r>
      <w:r w:rsidRPr="000B0254">
        <w:rPr>
          <w:spacing w:val="0"/>
        </w:rPr>
        <w:t xml:space="preserve"> </w:t>
      </w:r>
      <w:r w:rsidR="00110FC2" w:rsidRPr="000B0254">
        <w:rPr>
          <w:spacing w:val="0"/>
        </w:rPr>
        <w:t>juin</w:t>
      </w:r>
      <w:r w:rsidRPr="000B0254">
        <w:rPr>
          <w:spacing w:val="0"/>
        </w:rPr>
        <w:t xml:space="preserve"> 2015, en amélioration de 20 points de base par rapport au 31 </w:t>
      </w:r>
      <w:r w:rsidR="00110FC2" w:rsidRPr="000B0254">
        <w:rPr>
          <w:spacing w:val="0"/>
        </w:rPr>
        <w:t>mars 2015</w:t>
      </w:r>
      <w:r w:rsidRPr="000B0254">
        <w:rPr>
          <w:spacing w:val="0"/>
        </w:rPr>
        <w:t xml:space="preserve"> (12,</w:t>
      </w:r>
      <w:r w:rsidR="00110FC2" w:rsidRPr="000B0254">
        <w:rPr>
          <w:spacing w:val="0"/>
        </w:rPr>
        <w:t>2</w:t>
      </w:r>
      <w:r w:rsidRPr="000B0254">
        <w:rPr>
          <w:spacing w:val="0"/>
        </w:rPr>
        <w:t xml:space="preserve"> %</w:t>
      </w:r>
      <w:r w:rsidR="001C44B6" w:rsidRPr="000B0254">
        <w:rPr>
          <w:spacing w:val="0"/>
        </w:rPr>
        <w:fldChar w:fldCharType="begin"/>
      </w:r>
      <w:r w:rsidR="001C44B6" w:rsidRPr="000B0254">
        <w:rPr>
          <w:spacing w:val="0"/>
        </w:rPr>
        <w:instrText xml:space="preserve"> NOTEREF _Ref418506411 \f \h </w:instrText>
      </w:r>
      <w:r w:rsidR="000B0254">
        <w:rPr>
          <w:spacing w:val="0"/>
        </w:rPr>
        <w:instrText xml:space="preserve"> \* MERGEFORMAT </w:instrText>
      </w:r>
      <w:r w:rsidR="001C44B6" w:rsidRPr="000B0254">
        <w:rPr>
          <w:spacing w:val="0"/>
        </w:rPr>
      </w:r>
      <w:r w:rsidR="001C44B6" w:rsidRPr="000B0254">
        <w:rPr>
          <w:spacing w:val="0"/>
        </w:rPr>
        <w:fldChar w:fldCharType="separate"/>
      </w:r>
      <w:r w:rsidR="00A92C86" w:rsidRPr="00A92C86">
        <w:rPr>
          <w:rStyle w:val="Appelnotedebasdep"/>
        </w:rPr>
        <w:t>15</w:t>
      </w:r>
      <w:r w:rsidR="001C44B6" w:rsidRPr="000B0254">
        <w:rPr>
          <w:spacing w:val="0"/>
        </w:rPr>
        <w:fldChar w:fldCharType="end"/>
      </w:r>
      <w:r w:rsidR="006971AB" w:rsidRPr="000B0254">
        <w:rPr>
          <w:spacing w:val="0"/>
        </w:rPr>
        <w:t>)</w:t>
      </w:r>
      <w:r w:rsidR="001F4CEF" w:rsidRPr="000B0254">
        <w:rPr>
          <w:spacing w:val="0"/>
        </w:rPr>
        <w:t>.</w:t>
      </w:r>
    </w:p>
    <w:p w:rsidR="006971AB" w:rsidRPr="000B0254" w:rsidRDefault="006971AB" w:rsidP="00140952">
      <w:pPr>
        <w:pStyle w:val="2-TEXTECOURANTcommuniqu"/>
        <w:rPr>
          <w:spacing w:val="0"/>
        </w:rPr>
      </w:pPr>
    </w:p>
    <w:p w:rsidR="00140952" w:rsidRPr="000B0254" w:rsidRDefault="00791077" w:rsidP="00140952">
      <w:pPr>
        <w:pStyle w:val="2-TEXTECOURANTcommuniqu"/>
        <w:rPr>
          <w:color w:val="FF0000"/>
          <w:spacing w:val="0"/>
        </w:rPr>
      </w:pPr>
      <w:r w:rsidRPr="000B0254">
        <w:rPr>
          <w:spacing w:val="0"/>
        </w:rPr>
        <w:t>L’augmentation d</w:t>
      </w:r>
      <w:r w:rsidR="00014DA1" w:rsidRPr="000B0254">
        <w:rPr>
          <w:spacing w:val="0"/>
        </w:rPr>
        <w:t>u ratio de</w:t>
      </w:r>
      <w:r w:rsidRPr="000B0254">
        <w:rPr>
          <w:spacing w:val="0"/>
        </w:rPr>
        <w:t xml:space="preserve"> CET1 est p</w:t>
      </w:r>
      <w:r w:rsidR="008814E1" w:rsidRPr="000B0254">
        <w:rPr>
          <w:spacing w:val="0"/>
        </w:rPr>
        <w:t xml:space="preserve">rincipalement </w:t>
      </w:r>
      <w:r w:rsidRPr="000B0254">
        <w:rPr>
          <w:spacing w:val="0"/>
        </w:rPr>
        <w:t xml:space="preserve">due à </w:t>
      </w:r>
      <w:r w:rsidR="005D181C" w:rsidRPr="000B0254">
        <w:rPr>
          <w:spacing w:val="0"/>
        </w:rPr>
        <w:t>la mise en réserve</w:t>
      </w:r>
      <w:r w:rsidR="00014DA1" w:rsidRPr="000B0254">
        <w:rPr>
          <w:rStyle w:val="Appelnotedebasdep"/>
          <w:spacing w:val="0"/>
        </w:rPr>
        <w:footnoteReference w:id="16"/>
      </w:r>
      <w:r w:rsidR="005D181C" w:rsidRPr="000B0254">
        <w:rPr>
          <w:spacing w:val="0"/>
        </w:rPr>
        <w:t xml:space="preserve"> du résultat</w:t>
      </w:r>
      <w:r w:rsidR="006971AB" w:rsidRPr="000B0254">
        <w:rPr>
          <w:spacing w:val="0"/>
        </w:rPr>
        <w:t xml:space="preserve">. </w:t>
      </w:r>
      <w:r w:rsidR="005D181C" w:rsidRPr="000B0254">
        <w:rPr>
          <w:spacing w:val="0"/>
        </w:rPr>
        <w:t>En effet, le Groupe BPCE a la capacité de mettre en réserve de façon récurrente un pourcentage élevé de son résultat, afin de constituer un coussin important de CET1.</w:t>
      </w:r>
      <w:r w:rsidR="00140952" w:rsidRPr="000B0254">
        <w:rPr>
          <w:spacing w:val="0"/>
        </w:rPr>
        <w:t xml:space="preserve"> </w:t>
      </w:r>
      <w:r w:rsidR="006971AB" w:rsidRPr="000B0254">
        <w:rPr>
          <w:spacing w:val="0"/>
        </w:rPr>
        <w:t>Sur le premier semestre,</w:t>
      </w:r>
      <w:r w:rsidR="00140952" w:rsidRPr="000B0254">
        <w:rPr>
          <w:spacing w:val="0"/>
        </w:rPr>
        <w:t xml:space="preserve"> </w:t>
      </w:r>
      <w:r w:rsidR="001F4CEF" w:rsidRPr="000B0254">
        <w:rPr>
          <w:spacing w:val="0"/>
        </w:rPr>
        <w:t>les réserves</w:t>
      </w:r>
      <w:r w:rsidR="001F4CEF" w:rsidRPr="000B0254">
        <w:rPr>
          <w:rStyle w:val="Appelnotedebasdep"/>
          <w:spacing w:val="0"/>
        </w:rPr>
        <w:footnoteReference w:id="17"/>
      </w:r>
      <w:r w:rsidR="001F4CEF" w:rsidRPr="000B0254">
        <w:rPr>
          <w:spacing w:val="0"/>
        </w:rPr>
        <w:t xml:space="preserve"> </w:t>
      </w:r>
      <w:r w:rsidR="006971AB" w:rsidRPr="000B0254">
        <w:rPr>
          <w:spacing w:val="0"/>
        </w:rPr>
        <w:t>ont augmenté de 1,4 milliard d’euros</w:t>
      </w:r>
      <w:r w:rsidR="000B0254" w:rsidRPr="000B0254">
        <w:rPr>
          <w:spacing w:val="0"/>
        </w:rPr>
        <w:t>,</w:t>
      </w:r>
      <w:r w:rsidR="006971AB" w:rsidRPr="000B0254">
        <w:rPr>
          <w:spacing w:val="0"/>
        </w:rPr>
        <w:t xml:space="preserve"> </w:t>
      </w:r>
      <w:r w:rsidR="00140952" w:rsidRPr="000B0254">
        <w:rPr>
          <w:spacing w:val="0"/>
        </w:rPr>
        <w:t>passant de 27,</w:t>
      </w:r>
      <w:r w:rsidR="001124DB" w:rsidRPr="000B0254">
        <w:rPr>
          <w:spacing w:val="0"/>
        </w:rPr>
        <w:t>1 </w:t>
      </w:r>
      <w:r w:rsidR="00140952" w:rsidRPr="000B0254">
        <w:rPr>
          <w:spacing w:val="0"/>
        </w:rPr>
        <w:t xml:space="preserve">milliards d’euros </w:t>
      </w:r>
      <w:r w:rsidR="006971AB" w:rsidRPr="000B0254">
        <w:rPr>
          <w:spacing w:val="0"/>
        </w:rPr>
        <w:t xml:space="preserve">au 31 décembre 2014 </w:t>
      </w:r>
      <w:r w:rsidR="00140952" w:rsidRPr="000B0254">
        <w:rPr>
          <w:spacing w:val="0"/>
        </w:rPr>
        <w:t>à 28,</w:t>
      </w:r>
      <w:r w:rsidR="006971AB" w:rsidRPr="000B0254">
        <w:rPr>
          <w:spacing w:val="0"/>
        </w:rPr>
        <w:t>5</w:t>
      </w:r>
      <w:r w:rsidR="00140952" w:rsidRPr="000B0254">
        <w:rPr>
          <w:spacing w:val="0"/>
        </w:rPr>
        <w:t xml:space="preserve"> milliards d’euros </w:t>
      </w:r>
      <w:r w:rsidR="00A22446" w:rsidRPr="000B0254">
        <w:rPr>
          <w:spacing w:val="0"/>
        </w:rPr>
        <w:t xml:space="preserve">estimés </w:t>
      </w:r>
      <w:r w:rsidR="00140952" w:rsidRPr="000B0254">
        <w:rPr>
          <w:spacing w:val="0"/>
        </w:rPr>
        <w:t>au 3</w:t>
      </w:r>
      <w:r w:rsidR="006971AB" w:rsidRPr="000B0254">
        <w:rPr>
          <w:spacing w:val="0"/>
        </w:rPr>
        <w:t>0 juin</w:t>
      </w:r>
      <w:r w:rsidR="00140952" w:rsidRPr="000B0254">
        <w:rPr>
          <w:spacing w:val="0"/>
        </w:rPr>
        <w:t xml:space="preserve"> 2015.</w:t>
      </w:r>
    </w:p>
    <w:p w:rsidR="00014DA1" w:rsidRPr="000B0254" w:rsidRDefault="006E6B17" w:rsidP="00140952">
      <w:pPr>
        <w:pStyle w:val="2-TEXTECOURANTcommuniqu"/>
        <w:rPr>
          <w:spacing w:val="0"/>
        </w:rPr>
      </w:pPr>
      <w:r w:rsidRPr="000B0254">
        <w:rPr>
          <w:spacing w:val="0"/>
        </w:rPr>
        <w:t>L</w:t>
      </w:r>
      <w:r w:rsidR="001F4CEF" w:rsidRPr="000B0254">
        <w:rPr>
          <w:spacing w:val="0"/>
        </w:rPr>
        <w:t>a progression d</w:t>
      </w:r>
      <w:r w:rsidRPr="000B0254">
        <w:rPr>
          <w:spacing w:val="0"/>
        </w:rPr>
        <w:t xml:space="preserve">es risques pondérés (Bâle 3) </w:t>
      </w:r>
      <w:r w:rsidR="001F4CEF" w:rsidRPr="000B0254">
        <w:rPr>
          <w:spacing w:val="0"/>
        </w:rPr>
        <w:t xml:space="preserve">est maîtrisée, évoluant de 393 milliards d’euros au 31 décembre 2014 </w:t>
      </w:r>
      <w:r w:rsidR="00A613E1" w:rsidRPr="000B0254">
        <w:rPr>
          <w:spacing w:val="0"/>
        </w:rPr>
        <w:t>à 395 milliards d’euros</w:t>
      </w:r>
      <w:r w:rsidR="001F4CEF" w:rsidRPr="000B0254">
        <w:rPr>
          <w:spacing w:val="0"/>
        </w:rPr>
        <w:t xml:space="preserve"> au 30 juin 2015</w:t>
      </w:r>
      <w:r w:rsidR="00A613E1" w:rsidRPr="000B0254">
        <w:rPr>
          <w:spacing w:val="0"/>
        </w:rPr>
        <w:t>.</w:t>
      </w:r>
    </w:p>
    <w:p w:rsidR="00A613E1" w:rsidRPr="00FD1FEC" w:rsidRDefault="00A613E1" w:rsidP="00140952">
      <w:pPr>
        <w:pStyle w:val="2-TEXTECOURANTcommuniqu"/>
        <w:rPr>
          <w:color w:val="FF0000"/>
        </w:rPr>
      </w:pPr>
    </w:p>
    <w:p w:rsidR="00696668" w:rsidRPr="005124B0" w:rsidRDefault="00696668" w:rsidP="00696668">
      <w:pPr>
        <w:pStyle w:val="2-TEXTECOURANTcommuniqu"/>
      </w:pPr>
      <w:r w:rsidRPr="005124B0">
        <w:t xml:space="preserve">Au </w:t>
      </w:r>
      <w:r w:rsidR="00BC45DE">
        <w:t xml:space="preserve">30 juin 2015, </w:t>
      </w:r>
      <w:r w:rsidRPr="005124B0">
        <w:t>le ratio de levier</w:t>
      </w:r>
      <w:r w:rsidR="00791077" w:rsidRPr="005124B0">
        <w:rPr>
          <w:rStyle w:val="Appelnotedebasdep"/>
        </w:rPr>
        <w:footnoteReference w:id="18"/>
      </w:r>
      <w:r w:rsidRPr="005124B0">
        <w:t xml:space="preserve"> </w:t>
      </w:r>
      <w:r w:rsidR="00791077" w:rsidRPr="005124B0">
        <w:t>(</w:t>
      </w:r>
      <w:r w:rsidRPr="005124B0">
        <w:t>Bâle 3</w:t>
      </w:r>
      <w:r w:rsidR="00791077" w:rsidRPr="005124B0">
        <w:t>)</w:t>
      </w:r>
      <w:r w:rsidR="00074BBE" w:rsidRPr="005124B0">
        <w:t xml:space="preserve"> </w:t>
      </w:r>
      <w:r w:rsidR="00BC45DE">
        <w:t xml:space="preserve">s’établit à 4,8 % contre </w:t>
      </w:r>
      <w:r w:rsidR="00074BBE" w:rsidRPr="005124B0">
        <w:t>4,6</w:t>
      </w:r>
      <w:r w:rsidRPr="005124B0">
        <w:t xml:space="preserve"> %</w:t>
      </w:r>
      <w:r w:rsidR="001F4CEF">
        <w:t xml:space="preserve"> au 31 mars 2015</w:t>
      </w:r>
      <w:r w:rsidR="00074BBE" w:rsidRPr="005124B0">
        <w:t>.</w:t>
      </w:r>
    </w:p>
    <w:p w:rsidR="00696668" w:rsidRPr="00415E6E" w:rsidRDefault="00696668" w:rsidP="00696668">
      <w:pPr>
        <w:pStyle w:val="3-Titre2"/>
      </w:pPr>
      <w:r w:rsidRPr="00000638">
        <w:rPr>
          <w:color w:val="F47920" w:themeColor="accent3"/>
        </w:rPr>
        <w:t>2.2</w:t>
      </w:r>
      <w:r w:rsidRPr="00415E6E">
        <w:tab/>
        <w:t xml:space="preserve"> </w:t>
      </w:r>
      <w:r w:rsidR="006832A7">
        <w:t>Hausse du taux de couverture du refinanc</w:t>
      </w:r>
      <w:r w:rsidR="003B32C1">
        <w:t>ement CT par les réserves de li</w:t>
      </w:r>
      <w:r w:rsidR="006832A7">
        <w:t>quidité</w:t>
      </w:r>
    </w:p>
    <w:p w:rsidR="00BF0A5E" w:rsidRPr="000B0254" w:rsidRDefault="00BF0A5E" w:rsidP="00BF0A5E">
      <w:pPr>
        <w:pStyle w:val="2-TEXTECOURANTcommuniqu"/>
        <w:rPr>
          <w:color w:val="FF0000"/>
          <w:spacing w:val="0"/>
        </w:rPr>
      </w:pPr>
      <w:r w:rsidRPr="000B0254">
        <w:rPr>
          <w:spacing w:val="0"/>
        </w:rPr>
        <w:t>Les r</w:t>
      </w:r>
      <w:r w:rsidR="004329D0" w:rsidRPr="000B0254">
        <w:rPr>
          <w:spacing w:val="0"/>
        </w:rPr>
        <w:t>éserves de liquidité couvrent 132</w:t>
      </w:r>
      <w:r w:rsidRPr="000B0254">
        <w:rPr>
          <w:spacing w:val="0"/>
        </w:rPr>
        <w:t xml:space="preserve"> % du total des encours de refinancement court terme et tombées moyen-long terme et subordonnées inférieures ou égales à un an. Les réserves de liquidité s’élèvent à 1</w:t>
      </w:r>
      <w:r w:rsidR="00B047CD" w:rsidRPr="000B0254">
        <w:rPr>
          <w:spacing w:val="0"/>
        </w:rPr>
        <w:t>66</w:t>
      </w:r>
      <w:r w:rsidRPr="000B0254">
        <w:rPr>
          <w:spacing w:val="0"/>
        </w:rPr>
        <w:t xml:space="preserve"> milliards d’euros au 3</w:t>
      </w:r>
      <w:r w:rsidR="00B047CD" w:rsidRPr="000B0254">
        <w:rPr>
          <w:spacing w:val="0"/>
        </w:rPr>
        <w:t>0</w:t>
      </w:r>
      <w:r w:rsidRPr="000B0254">
        <w:rPr>
          <w:spacing w:val="0"/>
        </w:rPr>
        <w:t xml:space="preserve"> </w:t>
      </w:r>
      <w:r w:rsidR="00B047CD" w:rsidRPr="000B0254">
        <w:rPr>
          <w:spacing w:val="0"/>
        </w:rPr>
        <w:t>juin</w:t>
      </w:r>
      <w:r w:rsidRPr="000B0254">
        <w:rPr>
          <w:spacing w:val="0"/>
        </w:rPr>
        <w:t xml:space="preserve"> 2015 (contre 1</w:t>
      </w:r>
      <w:r w:rsidR="00B047CD" w:rsidRPr="000B0254">
        <w:rPr>
          <w:spacing w:val="0"/>
        </w:rPr>
        <w:t>51</w:t>
      </w:r>
      <w:r w:rsidRPr="000B0254">
        <w:rPr>
          <w:spacing w:val="0"/>
        </w:rPr>
        <w:t xml:space="preserve"> milliards d’euros au </w:t>
      </w:r>
      <w:r w:rsidR="008B1FF9" w:rsidRPr="008B1FF9">
        <w:t>30</w:t>
      </w:r>
      <w:r w:rsidR="008B1FF9">
        <w:t> </w:t>
      </w:r>
      <w:r w:rsidR="00CE7524" w:rsidRPr="008B1FF9">
        <w:t>juin</w:t>
      </w:r>
      <w:r w:rsidR="00CE7524" w:rsidRPr="000B0254">
        <w:rPr>
          <w:spacing w:val="0"/>
        </w:rPr>
        <w:t xml:space="preserve"> 2014</w:t>
      </w:r>
      <w:r w:rsidRPr="000B0254">
        <w:rPr>
          <w:spacing w:val="0"/>
        </w:rPr>
        <w:t>)</w:t>
      </w:r>
      <w:r w:rsidR="000B0254" w:rsidRPr="000B0254">
        <w:rPr>
          <w:spacing w:val="0"/>
        </w:rPr>
        <w:t>,</w:t>
      </w:r>
      <w:r w:rsidRPr="000B0254">
        <w:rPr>
          <w:spacing w:val="0"/>
        </w:rPr>
        <w:t xml:space="preserve"> dont 1</w:t>
      </w:r>
      <w:r w:rsidR="00B047CD" w:rsidRPr="000B0254">
        <w:rPr>
          <w:spacing w:val="0"/>
        </w:rPr>
        <w:t>17</w:t>
      </w:r>
      <w:r w:rsidRPr="000B0254">
        <w:rPr>
          <w:spacing w:val="0"/>
        </w:rPr>
        <w:t xml:space="preserve"> milliards d’euros d’actifs disponibles éligibles au refinancement banques centrales (</w:t>
      </w:r>
      <w:r w:rsidR="00976186" w:rsidRPr="000B0254">
        <w:rPr>
          <w:spacing w:val="0"/>
        </w:rPr>
        <w:t>113 milliards d’euros</w:t>
      </w:r>
      <w:r w:rsidR="00156301" w:rsidRPr="000B0254">
        <w:rPr>
          <w:spacing w:val="0"/>
        </w:rPr>
        <w:t xml:space="preserve"> au 3</w:t>
      </w:r>
      <w:r w:rsidR="00976186" w:rsidRPr="000B0254">
        <w:rPr>
          <w:spacing w:val="0"/>
        </w:rPr>
        <w:t>0</w:t>
      </w:r>
      <w:r w:rsidR="00156301" w:rsidRPr="000B0254">
        <w:rPr>
          <w:spacing w:val="0"/>
        </w:rPr>
        <w:t xml:space="preserve"> </w:t>
      </w:r>
      <w:r w:rsidR="00976186" w:rsidRPr="000B0254">
        <w:rPr>
          <w:spacing w:val="0"/>
        </w:rPr>
        <w:t>juin</w:t>
      </w:r>
      <w:r w:rsidRPr="000B0254">
        <w:rPr>
          <w:spacing w:val="0"/>
        </w:rPr>
        <w:t xml:space="preserve"> 2014) et </w:t>
      </w:r>
      <w:r w:rsidR="00976186" w:rsidRPr="000B0254">
        <w:rPr>
          <w:spacing w:val="0"/>
        </w:rPr>
        <w:t>49</w:t>
      </w:r>
      <w:r w:rsidRPr="000B0254">
        <w:rPr>
          <w:spacing w:val="0"/>
        </w:rPr>
        <w:t xml:space="preserve"> milliards d’euros de liquidités placées auprès des banques centrales (</w:t>
      </w:r>
      <w:r w:rsidR="00976186" w:rsidRPr="000B0254">
        <w:rPr>
          <w:spacing w:val="0"/>
        </w:rPr>
        <w:t>38</w:t>
      </w:r>
      <w:r w:rsidRPr="000B0254">
        <w:rPr>
          <w:spacing w:val="0"/>
        </w:rPr>
        <w:t xml:space="preserve"> milliards d’euros </w:t>
      </w:r>
      <w:r w:rsidR="00976186" w:rsidRPr="000B0254">
        <w:rPr>
          <w:spacing w:val="0"/>
        </w:rPr>
        <w:t>au 30 juin 2014</w:t>
      </w:r>
      <w:r w:rsidRPr="000B0254">
        <w:rPr>
          <w:spacing w:val="0"/>
        </w:rPr>
        <w:t xml:space="preserve">). </w:t>
      </w:r>
    </w:p>
    <w:p w:rsidR="00BF0A5E" w:rsidRPr="000B0254" w:rsidRDefault="00BF0A5E" w:rsidP="00BF0A5E">
      <w:pPr>
        <w:pStyle w:val="2-TEXTECOURANTcommuniqu"/>
        <w:rPr>
          <w:color w:val="FF0000"/>
          <w:spacing w:val="0"/>
        </w:rPr>
      </w:pPr>
    </w:p>
    <w:p w:rsidR="00BF0A5E" w:rsidRPr="000B0254" w:rsidRDefault="00BF0A5E" w:rsidP="00BF0A5E">
      <w:pPr>
        <w:pStyle w:val="2-TEXTECOURANTcommuniqu"/>
        <w:rPr>
          <w:spacing w:val="0"/>
        </w:rPr>
      </w:pPr>
      <w:r w:rsidRPr="000B0254">
        <w:rPr>
          <w:spacing w:val="0"/>
        </w:rPr>
        <w:t>Le coefficient emplois/ressources clientèle du Groupe BPCE ressort à 119 %</w:t>
      </w:r>
      <w:r w:rsidR="00791077" w:rsidRPr="000B0254">
        <w:rPr>
          <w:rStyle w:val="Appelnotedebasdep"/>
          <w:spacing w:val="0"/>
        </w:rPr>
        <w:footnoteReference w:id="19"/>
      </w:r>
      <w:r w:rsidRPr="000B0254">
        <w:rPr>
          <w:spacing w:val="0"/>
        </w:rPr>
        <w:t xml:space="preserve"> au </w:t>
      </w:r>
      <w:r w:rsidR="006832A7" w:rsidRPr="000B0254">
        <w:rPr>
          <w:spacing w:val="0"/>
        </w:rPr>
        <w:t>30 juin 2015</w:t>
      </w:r>
      <w:r w:rsidRPr="000B0254">
        <w:rPr>
          <w:spacing w:val="0"/>
        </w:rPr>
        <w:t xml:space="preserve">. </w:t>
      </w:r>
    </w:p>
    <w:p w:rsidR="00BF0A5E" w:rsidRPr="000B0254" w:rsidRDefault="00BF0A5E" w:rsidP="00BF0A5E">
      <w:pPr>
        <w:pStyle w:val="2-TEXTECOURANTcommuniqu"/>
        <w:rPr>
          <w:color w:val="FF0000"/>
          <w:spacing w:val="0"/>
        </w:rPr>
      </w:pPr>
    </w:p>
    <w:p w:rsidR="00BF0A5E" w:rsidRPr="000B0254" w:rsidRDefault="00BF0A5E" w:rsidP="00BF0A5E">
      <w:pPr>
        <w:pStyle w:val="2-TEXTECOURANTcommuniqu"/>
        <w:rPr>
          <w:spacing w:val="0"/>
        </w:rPr>
      </w:pPr>
      <w:r w:rsidRPr="000B0254">
        <w:rPr>
          <w:spacing w:val="0"/>
        </w:rPr>
        <w:t>Le ratio de liquidité court terme (LCR) est supérieur à 100 %</w:t>
      </w:r>
      <w:r w:rsidR="00791077" w:rsidRPr="000B0254">
        <w:rPr>
          <w:rStyle w:val="Appelnotedebasdep"/>
          <w:spacing w:val="0"/>
        </w:rPr>
        <w:footnoteReference w:id="20"/>
      </w:r>
      <w:r w:rsidRPr="000B0254">
        <w:rPr>
          <w:spacing w:val="0"/>
        </w:rPr>
        <w:t xml:space="preserve"> depuis le 30 juin 2014.</w:t>
      </w:r>
    </w:p>
    <w:p w:rsidR="00EA5800" w:rsidRDefault="00EA5800" w:rsidP="00BF0A5E">
      <w:pPr>
        <w:pStyle w:val="3-Titre2"/>
        <w:rPr>
          <w:color w:val="F47920" w:themeColor="accent3"/>
        </w:rPr>
      </w:pPr>
    </w:p>
    <w:p w:rsidR="0038287D" w:rsidRPr="00415E6E" w:rsidRDefault="0038287D" w:rsidP="0038287D">
      <w:pPr>
        <w:pStyle w:val="3-Titre2"/>
      </w:pPr>
      <w:r w:rsidRPr="00000638">
        <w:rPr>
          <w:color w:val="F47920" w:themeColor="accent3"/>
        </w:rPr>
        <w:lastRenderedPageBreak/>
        <w:t>2.3</w:t>
      </w:r>
      <w:r w:rsidRPr="00000638">
        <w:rPr>
          <w:color w:val="F47920" w:themeColor="accent3"/>
        </w:rPr>
        <w:tab/>
      </w:r>
      <w:r w:rsidRPr="00A85319">
        <w:rPr>
          <w:spacing w:val="0"/>
        </w:rPr>
        <w:t>Liquidité : le programme de refinancement moyen-long terme pour 2015 réalisé à 71 % au 30 juin 2015</w:t>
      </w:r>
    </w:p>
    <w:p w:rsidR="00B36CB5" w:rsidRPr="00CA42DA" w:rsidRDefault="0038287D" w:rsidP="00B36CB5">
      <w:pPr>
        <w:pStyle w:val="2-TEXTECOURANTcommuniqu"/>
      </w:pPr>
      <w:r w:rsidRPr="00F41675">
        <w:t>L’accès du Groupe BPCE aux grands marchés</w:t>
      </w:r>
      <w:r>
        <w:t xml:space="preserve"> de dette lui a permis de lever </w:t>
      </w:r>
      <w:r w:rsidRPr="00DD4873">
        <w:t xml:space="preserve">17,7 milliards d’euros de ressources à moyen-long terme (MLT) au </w:t>
      </w:r>
      <w:r>
        <w:t>30 juin</w:t>
      </w:r>
      <w:r w:rsidRPr="00DD4873">
        <w:t xml:space="preserve"> 2015</w:t>
      </w:r>
      <w:r w:rsidRPr="00FD1FEC">
        <w:rPr>
          <w:color w:val="FF0000"/>
        </w:rPr>
        <w:t xml:space="preserve"> </w:t>
      </w:r>
      <w:r w:rsidRPr="00E25B86">
        <w:t xml:space="preserve">(soit 71 </w:t>
      </w:r>
      <w:r w:rsidR="00473928">
        <w:t>% du programme 2015). Sur ces 17</w:t>
      </w:r>
      <w:r w:rsidRPr="00E25B86">
        <w:t xml:space="preserve">,7 milliards d’euros, 13,7 milliards d’euros ont été levés sur le pool de refinancement MLT de </w:t>
      </w:r>
      <w:r w:rsidRPr="00962CF4">
        <w:t>BPCE et 4,0 milliards d’euros sur le pool de refinancement MLT du CFF.</w:t>
      </w:r>
      <w:r w:rsidR="00D67E2D">
        <w:t xml:space="preserve"> </w:t>
      </w:r>
      <w:r w:rsidRPr="00962CF4">
        <w:t xml:space="preserve">La durée moyenne à l’émission est de 5 ans et le taux moyen est de </w:t>
      </w:r>
      <w:proofErr w:type="spellStart"/>
      <w:r w:rsidRPr="00962CF4">
        <w:t>mid</w:t>
      </w:r>
      <w:proofErr w:type="spellEnd"/>
      <w:r w:rsidRPr="00962CF4">
        <w:t xml:space="preserve">-swap + 18 </w:t>
      </w:r>
      <w:proofErr w:type="spellStart"/>
      <w:r w:rsidRPr="00962CF4">
        <w:t>pb</w:t>
      </w:r>
      <w:proofErr w:type="spellEnd"/>
      <w:r w:rsidRPr="00962CF4">
        <w:t xml:space="preserve">. </w:t>
      </w:r>
      <w:r w:rsidR="00B36CB5" w:rsidRPr="00CA42DA">
        <w:t xml:space="preserve">Au 30 juin 2015, </w:t>
      </w:r>
      <w:r w:rsidR="001F3181">
        <w:t xml:space="preserve">la moitié </w:t>
      </w:r>
      <w:r w:rsidR="00B36CB5" w:rsidRPr="00CA42DA">
        <w:t xml:space="preserve">du refinancement MLT </w:t>
      </w:r>
      <w:r w:rsidR="001F3181">
        <w:t>a</w:t>
      </w:r>
      <w:r w:rsidR="00B36CB5" w:rsidRPr="00CA42DA">
        <w:t xml:space="preserve"> été </w:t>
      </w:r>
      <w:r w:rsidR="001F3181">
        <w:t>effectuée</w:t>
      </w:r>
      <w:r w:rsidR="00B36CB5" w:rsidRPr="00CA42DA">
        <w:t xml:space="preserve"> sous la forme d’émissions publiques (50 % </w:t>
      </w:r>
      <w:r w:rsidR="001F3181">
        <w:t xml:space="preserve">sous la forme </w:t>
      </w:r>
      <w:r w:rsidR="00B36CB5" w:rsidRPr="00CA42DA">
        <w:t>de placements privés)</w:t>
      </w:r>
      <w:r w:rsidR="00B36CB5">
        <w:t>.</w:t>
      </w:r>
      <w:r w:rsidR="00B36CB5" w:rsidRPr="00CA42DA">
        <w:t xml:space="preserve"> </w:t>
      </w:r>
    </w:p>
    <w:p w:rsidR="0038287D" w:rsidRPr="00FD1FEC" w:rsidRDefault="0038287D" w:rsidP="0038287D">
      <w:pPr>
        <w:pStyle w:val="2-TEXTECOURANTcommuniqu"/>
        <w:rPr>
          <w:color w:val="FF0000"/>
        </w:rPr>
      </w:pPr>
    </w:p>
    <w:p w:rsidR="0038287D" w:rsidRPr="00DC525B" w:rsidRDefault="0038287D" w:rsidP="0038287D">
      <w:pPr>
        <w:pStyle w:val="2-TEXTECOURANTcommuniqu"/>
      </w:pPr>
      <w:r w:rsidRPr="00DC525B">
        <w:t>Pour rappel, le programme d’émissions moyen-long terme prévu pour 2015 vise un montant de 25 milliards d’euros à répartir entre le pool de refinancement MLT de BPCE (20 milliards d’euros) et le pool de refinancement MLT du CFF (5 milliards d’euros).</w:t>
      </w:r>
    </w:p>
    <w:p w:rsidR="0038287D" w:rsidRPr="005449EF" w:rsidRDefault="0038287D" w:rsidP="0038287D">
      <w:pPr>
        <w:pStyle w:val="2-TEXTECOURANTcommuniqu"/>
      </w:pPr>
    </w:p>
    <w:p w:rsidR="0038287D" w:rsidRPr="005D3177" w:rsidRDefault="005D3177" w:rsidP="0038287D">
      <w:pPr>
        <w:pStyle w:val="2-TEXTECOURANTcommuniqu"/>
      </w:pPr>
      <w:r w:rsidRPr="005D3177">
        <w:t xml:space="preserve">Au 30 juin 2015, le refinancement à MLT a été réalisé à hauteur de </w:t>
      </w:r>
      <w:r w:rsidR="0038287D" w:rsidRPr="005D3177">
        <w:t>71 % sous la forme d’émissions non sécurisées (</w:t>
      </w:r>
      <w:r w:rsidRPr="005D3177">
        <w:t xml:space="preserve">à hauteur de </w:t>
      </w:r>
      <w:r w:rsidR="0038287D" w:rsidRPr="005D3177">
        <w:t xml:space="preserve">29 % </w:t>
      </w:r>
      <w:r w:rsidRPr="005D3177">
        <w:t xml:space="preserve">sous la forme </w:t>
      </w:r>
      <w:r w:rsidR="0038287D" w:rsidRPr="005D3177">
        <w:t xml:space="preserve">d’émissions sécurisées). </w:t>
      </w:r>
    </w:p>
    <w:p w:rsidR="0038287D" w:rsidRPr="00250E2C" w:rsidRDefault="0038287D" w:rsidP="0038287D">
      <w:pPr>
        <w:pStyle w:val="2-TEXTECOURANTcommuniqu"/>
        <w:rPr>
          <w:color w:val="FF0000"/>
          <w:spacing w:val="0"/>
        </w:rPr>
      </w:pPr>
    </w:p>
    <w:p w:rsidR="0038287D" w:rsidRPr="00250E2C" w:rsidRDefault="0038287D" w:rsidP="0038287D">
      <w:pPr>
        <w:pStyle w:val="2-TEXTECOURANTcommuniqu"/>
        <w:rPr>
          <w:spacing w:val="0"/>
        </w:rPr>
      </w:pPr>
      <w:r w:rsidRPr="00250E2C">
        <w:rPr>
          <w:spacing w:val="0"/>
        </w:rPr>
        <w:t xml:space="preserve">Le Groupe BPCE continue de lever des montants importants grâce à une diversification accrue de sa base d’investisseurs. Ainsi, 44 % des émissions non sécurisées sur le marché des institutionnels ont été effectuées en devises autres que l’euro (notamment 22 % en dollar américain et 10 % en yen). </w:t>
      </w:r>
    </w:p>
    <w:p w:rsidR="00696668" w:rsidRPr="002B3D74" w:rsidRDefault="00696668" w:rsidP="00696668">
      <w:pPr>
        <w:pStyle w:val="2-TEXTECOURANTcommuniqu"/>
        <w:rPr>
          <w:color w:val="FF0000"/>
        </w:rPr>
      </w:pPr>
    </w:p>
    <w:p w:rsidR="0069247C" w:rsidRPr="006E3737" w:rsidRDefault="0069247C" w:rsidP="006E3737">
      <w:pPr>
        <w:pStyle w:val="Boldviolet"/>
      </w:pPr>
      <w:r w:rsidRPr="004E65E5">
        <w:rPr>
          <w:color w:val="FF0000"/>
          <w:sz w:val="14"/>
          <w:szCs w:val="14"/>
        </w:rPr>
        <w:br w:type="page"/>
      </w:r>
    </w:p>
    <w:p w:rsidR="0069247C" w:rsidRDefault="00602E64" w:rsidP="0069247C">
      <w:pPr>
        <w:pStyle w:val="3-Titre1"/>
      </w:pPr>
      <w:r>
        <w:rPr>
          <w:rStyle w:val="orange"/>
        </w:rPr>
        <w:lastRenderedPageBreak/>
        <w:t>3</w:t>
      </w:r>
      <w:r w:rsidR="0069247C" w:rsidRPr="0069247C">
        <w:rPr>
          <w:rStyle w:val="orange"/>
        </w:rPr>
        <w:t>.</w:t>
      </w:r>
      <w:r w:rsidR="0069247C">
        <w:tab/>
        <w:t>RÉSULTATS</w:t>
      </w:r>
      <w:bookmarkStart w:id="12" w:name="_Ref414265226"/>
      <w:r w:rsidR="00E748BA">
        <w:rPr>
          <w:rStyle w:val="Appelnotedebasdep"/>
        </w:rPr>
        <w:footnoteReference w:id="21"/>
      </w:r>
      <w:bookmarkEnd w:id="12"/>
      <w:r w:rsidR="003A4476">
        <w:t xml:space="preserve"> </w:t>
      </w:r>
      <w:r w:rsidR="0069247C">
        <w:t xml:space="preserve">DES MÉTIERS : </w:t>
      </w:r>
      <w:r w:rsidR="0069247C" w:rsidRPr="00A25990">
        <w:t xml:space="preserve">UNE ACTIVITÉ COMMERCIALE </w:t>
      </w:r>
      <w:r w:rsidR="00B74F1A" w:rsidRPr="00A25990">
        <w:t>SOUTENUE</w:t>
      </w:r>
    </w:p>
    <w:p w:rsidR="00E949EA" w:rsidRDefault="00E949EA" w:rsidP="00E949EA">
      <w:pPr>
        <w:pStyle w:val="3-Titre2"/>
      </w:pPr>
      <w:r>
        <w:rPr>
          <w:rStyle w:val="orange"/>
        </w:rPr>
        <w:t>3</w:t>
      </w:r>
      <w:r w:rsidRPr="0069247C">
        <w:rPr>
          <w:rStyle w:val="orange"/>
        </w:rPr>
        <w:t>.1</w:t>
      </w:r>
      <w:r>
        <w:t xml:space="preserve"> </w:t>
      </w:r>
      <w:r w:rsidRPr="00A85319">
        <w:rPr>
          <w:spacing w:val="0"/>
        </w:rPr>
        <w:t xml:space="preserve">Banque commerciale et Assurance : </w:t>
      </w:r>
      <w:r w:rsidR="0064394E" w:rsidRPr="00A85319">
        <w:rPr>
          <w:spacing w:val="0"/>
        </w:rPr>
        <w:t>contribution au résultat avant impôt du groupe en forte progression</w:t>
      </w:r>
    </w:p>
    <w:p w:rsidR="00E949EA" w:rsidRPr="001A4AE4" w:rsidRDefault="00E949EA" w:rsidP="00E949EA">
      <w:pPr>
        <w:pStyle w:val="intro"/>
      </w:pPr>
      <w:r w:rsidRPr="001A4AE4">
        <w:t>Le métier Banque commerciale et Assurance regroupe les activités du réseau Banque Populaire, du réseau Caisse d’Epargne</w:t>
      </w:r>
      <w:r>
        <w:t xml:space="preserve"> </w:t>
      </w:r>
      <w:r w:rsidRPr="001A4AE4">
        <w:t xml:space="preserve">et des Autres réseaux comprenant </w:t>
      </w:r>
      <w:r>
        <w:t xml:space="preserve">les filiales </w:t>
      </w:r>
      <w:r w:rsidRPr="001A4AE4">
        <w:t>BPCE IOM, Banque Palatine</w:t>
      </w:r>
      <w:r>
        <w:t>, Crédit Foncier</w:t>
      </w:r>
      <w:r w:rsidRPr="001A4AE4">
        <w:t xml:space="preserve"> et </w:t>
      </w:r>
      <w:r>
        <w:t>la participation minoritaire dans CNP Assurances</w:t>
      </w:r>
      <w:r w:rsidRPr="001A4AE4">
        <w:t>.</w:t>
      </w:r>
    </w:p>
    <w:p w:rsidR="00E949EA" w:rsidRPr="002B3D74" w:rsidRDefault="00E949EA" w:rsidP="00E949EA">
      <w:pPr>
        <w:pStyle w:val="2-TEXTECOURANTcommuniqu"/>
        <w:rPr>
          <w:color w:val="FF0000"/>
        </w:rPr>
      </w:pPr>
    </w:p>
    <w:p w:rsidR="00E949EA" w:rsidRPr="000B0254" w:rsidRDefault="00E949EA" w:rsidP="00E949EA">
      <w:pPr>
        <w:pStyle w:val="2-TEXTECOURANTcommuniqu"/>
        <w:rPr>
          <w:spacing w:val="0"/>
        </w:rPr>
      </w:pPr>
      <w:r w:rsidRPr="000B0254">
        <w:rPr>
          <w:spacing w:val="0"/>
        </w:rPr>
        <w:t>Les Banques Populaires et les Caisses d’Epargne enregistrent des performances commerciales solides pour le deuxième trimestre de l’année 2015. Les encours d’épargne totaux s’établissent à 618 milliards d’euros au 30 juin 2015, en hausse de 28 milliards d’euros sur un an. Cette croissance résulte principalement de l’augmentation de l’épargne de bilan</w:t>
      </w:r>
      <w:r w:rsidR="00473928" w:rsidRPr="000B0254">
        <w:rPr>
          <w:spacing w:val="0"/>
        </w:rPr>
        <w:t xml:space="preserve"> hors centralisation (+ 8,7</w:t>
      </w:r>
      <w:r w:rsidRPr="000B0254">
        <w:rPr>
          <w:spacing w:val="0"/>
        </w:rPr>
        <w:t xml:space="preserve"> % sur un an). Le deuxième trimestre 2015 </w:t>
      </w:r>
      <w:r w:rsidR="007001B6" w:rsidRPr="000B0254">
        <w:rPr>
          <w:spacing w:val="0"/>
        </w:rPr>
        <w:t>confirme</w:t>
      </w:r>
      <w:r w:rsidRPr="000B0254">
        <w:rPr>
          <w:spacing w:val="0"/>
        </w:rPr>
        <w:t xml:space="preserve"> la reprise de l’épargne financière, avec une hausse des encours de 3,5 % sur un an, bénéficiant de la dynamique de l’assurance vie.</w:t>
      </w:r>
    </w:p>
    <w:p w:rsidR="00E949EA" w:rsidRPr="000B0254" w:rsidRDefault="00E949EA" w:rsidP="00E949EA">
      <w:pPr>
        <w:pStyle w:val="2-TEXTECOURANTcommuniqu"/>
        <w:rPr>
          <w:spacing w:val="0"/>
        </w:rPr>
      </w:pPr>
    </w:p>
    <w:p w:rsidR="00E949EA" w:rsidRPr="000B0254" w:rsidRDefault="00E949EA" w:rsidP="00E949EA">
      <w:pPr>
        <w:pStyle w:val="2-TEXTECOURANTcommuniqu"/>
        <w:rPr>
          <w:spacing w:val="0"/>
        </w:rPr>
      </w:pPr>
      <w:r w:rsidRPr="000B0254">
        <w:rPr>
          <w:spacing w:val="0"/>
        </w:rPr>
        <w:t>Les encours de crédit s’établissent à 384 milliards d’euros au 30 juin 2015. Ils ont augmenté de 2,7 % sur un an, soit une progression de 10 milliards d’euros. Les crédits aux ménages enregistrent une croissance très soutenue, notamment les crédits à la consommation dont la production progresse de 17 % pour les Banques Populaires et de 14 % pour les Caisses d’Epargne</w:t>
      </w:r>
      <w:r w:rsidR="00571AA2" w:rsidRPr="000B0254">
        <w:rPr>
          <w:spacing w:val="0"/>
        </w:rPr>
        <w:t xml:space="preserve"> par rapport au premier semestre 2014</w:t>
      </w:r>
      <w:r w:rsidRPr="000B0254">
        <w:rPr>
          <w:spacing w:val="0"/>
        </w:rPr>
        <w:t xml:space="preserve">. Le </w:t>
      </w:r>
      <w:r w:rsidR="0080537F" w:rsidRPr="000B0254">
        <w:rPr>
          <w:spacing w:val="0"/>
        </w:rPr>
        <w:t>semestre</w:t>
      </w:r>
      <w:r w:rsidRPr="000B0254">
        <w:rPr>
          <w:spacing w:val="0"/>
        </w:rPr>
        <w:t xml:space="preserve"> confirme </w:t>
      </w:r>
      <w:r w:rsidR="009F0686" w:rsidRPr="000B0254">
        <w:rPr>
          <w:spacing w:val="0"/>
        </w:rPr>
        <w:t xml:space="preserve">également </w:t>
      </w:r>
      <w:r w:rsidRPr="000B0254">
        <w:rPr>
          <w:spacing w:val="0"/>
        </w:rPr>
        <w:t xml:space="preserve">la reprise du crédit aux entreprises. </w:t>
      </w:r>
      <w:r w:rsidR="00175E6C" w:rsidRPr="000B0254">
        <w:rPr>
          <w:spacing w:val="0"/>
        </w:rPr>
        <w:t>Ainsi, l</w:t>
      </w:r>
      <w:r w:rsidR="00696063" w:rsidRPr="000B0254">
        <w:rPr>
          <w:spacing w:val="0"/>
        </w:rPr>
        <w:t xml:space="preserve">a production des crédits à l’équipement </w:t>
      </w:r>
      <w:r w:rsidR="00175E6C" w:rsidRPr="000B0254">
        <w:rPr>
          <w:spacing w:val="0"/>
        </w:rPr>
        <w:t xml:space="preserve">a </w:t>
      </w:r>
      <w:r w:rsidR="00696063" w:rsidRPr="000B0254">
        <w:rPr>
          <w:spacing w:val="0"/>
        </w:rPr>
        <w:t xml:space="preserve">progressé </w:t>
      </w:r>
      <w:r w:rsidR="009F0686" w:rsidRPr="000B0254">
        <w:rPr>
          <w:spacing w:val="0"/>
        </w:rPr>
        <w:t xml:space="preserve">significativement </w:t>
      </w:r>
      <w:r w:rsidR="00696063" w:rsidRPr="000B0254">
        <w:rPr>
          <w:spacing w:val="0"/>
        </w:rPr>
        <w:t>au premier semestre 2015 par rapport au premier semestre 2014 : + 10 % pour l</w:t>
      </w:r>
      <w:r w:rsidRPr="000B0254">
        <w:rPr>
          <w:spacing w:val="0"/>
        </w:rPr>
        <w:t>es Banques Populaires</w:t>
      </w:r>
      <w:r w:rsidR="00696063" w:rsidRPr="000B0254">
        <w:rPr>
          <w:spacing w:val="0"/>
        </w:rPr>
        <w:t>, +</w:t>
      </w:r>
      <w:r w:rsidRPr="000B0254">
        <w:rPr>
          <w:spacing w:val="0"/>
        </w:rPr>
        <w:t xml:space="preserve"> 21 %</w:t>
      </w:r>
      <w:r w:rsidR="00696063" w:rsidRPr="000B0254">
        <w:rPr>
          <w:spacing w:val="0"/>
        </w:rPr>
        <w:t xml:space="preserve"> pour les Caisses d’Epargne</w:t>
      </w:r>
      <w:r w:rsidRPr="000B0254">
        <w:rPr>
          <w:spacing w:val="0"/>
        </w:rPr>
        <w:t>. Le Groupe BPCE confirme ainsi son rôle actif dans le financement de l’économie.</w:t>
      </w:r>
    </w:p>
    <w:p w:rsidR="00E949EA" w:rsidRPr="000B0254" w:rsidRDefault="00E949EA" w:rsidP="00E949EA">
      <w:pPr>
        <w:pStyle w:val="2-TEXTECOURANTcommuniqu"/>
        <w:rPr>
          <w:spacing w:val="0"/>
        </w:rPr>
      </w:pPr>
    </w:p>
    <w:p w:rsidR="00E949EA" w:rsidRPr="000B0254" w:rsidRDefault="00E949EA" w:rsidP="00E949EA">
      <w:pPr>
        <w:pStyle w:val="2-TEXTECOURANTcommuniqu"/>
        <w:rPr>
          <w:spacing w:val="0"/>
        </w:rPr>
      </w:pPr>
      <w:r w:rsidRPr="000B0254">
        <w:rPr>
          <w:spacing w:val="0"/>
        </w:rPr>
        <w:t xml:space="preserve">Tourné vers l’innovation, le Groupe BPCE </w:t>
      </w:r>
      <w:r w:rsidR="00096514" w:rsidRPr="000B0254">
        <w:rPr>
          <w:spacing w:val="0"/>
        </w:rPr>
        <w:t>poursuit</w:t>
      </w:r>
      <w:r w:rsidRPr="000B0254">
        <w:rPr>
          <w:spacing w:val="0"/>
        </w:rPr>
        <w:t xml:space="preserve"> son ambition d’être la banque leader de la relation humaine et digitale </w:t>
      </w:r>
      <w:r w:rsidR="00096514" w:rsidRPr="000B0254">
        <w:rPr>
          <w:spacing w:val="0"/>
        </w:rPr>
        <w:t>avec</w:t>
      </w:r>
      <w:r w:rsidRPr="000B0254">
        <w:rPr>
          <w:spacing w:val="0"/>
        </w:rPr>
        <w:t xml:space="preserve"> de nombreuses initiatives </w:t>
      </w:r>
      <w:r w:rsidR="00096514" w:rsidRPr="000B0254">
        <w:rPr>
          <w:spacing w:val="0"/>
        </w:rPr>
        <w:t>réalisées au cours du</w:t>
      </w:r>
      <w:r w:rsidRPr="000B0254">
        <w:rPr>
          <w:spacing w:val="0"/>
        </w:rPr>
        <w:t xml:space="preserve"> premier semestre 2015. </w:t>
      </w:r>
    </w:p>
    <w:p w:rsidR="00E949EA" w:rsidRPr="000B0254" w:rsidRDefault="00E949EA" w:rsidP="00E949EA">
      <w:pPr>
        <w:pStyle w:val="2-TEXTECOURANTcommuniqu"/>
        <w:rPr>
          <w:spacing w:val="0"/>
        </w:rPr>
      </w:pPr>
    </w:p>
    <w:p w:rsidR="00E949EA" w:rsidRPr="000B0254" w:rsidRDefault="00E949EA" w:rsidP="00E949EA">
      <w:pPr>
        <w:pStyle w:val="2-TEXTECOURANTcommuniqu"/>
        <w:rPr>
          <w:spacing w:val="0"/>
        </w:rPr>
      </w:pPr>
      <w:r w:rsidRPr="000B0254">
        <w:rPr>
          <w:spacing w:val="0"/>
        </w:rPr>
        <w:t xml:space="preserve">Banque Populaire a innové en lançant </w:t>
      </w:r>
      <w:r w:rsidR="008B1FF9">
        <w:rPr>
          <w:spacing w:val="0"/>
        </w:rPr>
        <w:t>“</w:t>
      </w:r>
      <w:r w:rsidRPr="000B0254">
        <w:rPr>
          <w:spacing w:val="0"/>
        </w:rPr>
        <w:t>Suite Entreprise Watch</w:t>
      </w:r>
      <w:r w:rsidR="008B1FF9">
        <w:rPr>
          <w:spacing w:val="0"/>
        </w:rPr>
        <w:t>”</w:t>
      </w:r>
      <w:r w:rsidRPr="000B0254">
        <w:rPr>
          <w:spacing w:val="0"/>
        </w:rPr>
        <w:t xml:space="preserve">, la première application bancaire sur Apple Watch et montres Android destinée aux entrepreneurs. Cette application permet aux dirigeants de gérer l’ensemble des flux financiers de leur entreprise à distance et en temps réel sur montres connectées, dans des conditions de sécurité optimales. </w:t>
      </w:r>
    </w:p>
    <w:p w:rsidR="00E949EA" w:rsidRPr="000B0254" w:rsidRDefault="00E949EA" w:rsidP="00E949EA">
      <w:pPr>
        <w:pStyle w:val="2-TEXTECOURANTcommuniqu"/>
        <w:rPr>
          <w:spacing w:val="0"/>
        </w:rPr>
      </w:pPr>
    </w:p>
    <w:p w:rsidR="00E949EA" w:rsidRPr="000B0254" w:rsidRDefault="00E949EA" w:rsidP="00E949EA">
      <w:pPr>
        <w:pStyle w:val="2-TEXTECOURANTcommuniqu"/>
        <w:rPr>
          <w:spacing w:val="0"/>
        </w:rPr>
      </w:pPr>
      <w:r w:rsidRPr="000B0254">
        <w:rPr>
          <w:spacing w:val="0"/>
        </w:rPr>
        <w:t xml:space="preserve">La Caisse d’Epargne a modernisé son produit d’épargne historique - le Livret </w:t>
      </w:r>
      <w:proofErr w:type="gramStart"/>
      <w:r w:rsidRPr="000B0254">
        <w:rPr>
          <w:spacing w:val="0"/>
        </w:rPr>
        <w:t>A -</w:t>
      </w:r>
      <w:proofErr w:type="gramEnd"/>
      <w:r w:rsidRPr="000B0254">
        <w:rPr>
          <w:spacing w:val="0"/>
        </w:rPr>
        <w:t xml:space="preserve"> </w:t>
      </w:r>
      <w:r w:rsidR="008B1FF9">
        <w:rPr>
          <w:spacing w:val="0"/>
        </w:rPr>
        <w:t>en lançant “Livrets À Connecter”</w:t>
      </w:r>
      <w:r w:rsidRPr="000B0254">
        <w:rPr>
          <w:spacing w:val="0"/>
        </w:rPr>
        <w:t xml:space="preserve">, le premier service d’épargne participative qui permet de connecter ses livrets à une tirelire électronique. </w:t>
      </w:r>
      <w:r w:rsidR="00096514" w:rsidRPr="000B0254">
        <w:rPr>
          <w:spacing w:val="0"/>
        </w:rPr>
        <w:t>En parallèle</w:t>
      </w:r>
      <w:r w:rsidRPr="000B0254">
        <w:rPr>
          <w:spacing w:val="0"/>
        </w:rPr>
        <w:t>, elle a créé une platefo</w:t>
      </w:r>
      <w:r w:rsidR="008B1FF9">
        <w:rPr>
          <w:spacing w:val="0"/>
        </w:rPr>
        <w:t xml:space="preserve">rme digitale de </w:t>
      </w:r>
      <w:proofErr w:type="spellStart"/>
      <w:r w:rsidR="008B1FF9">
        <w:rPr>
          <w:spacing w:val="0"/>
        </w:rPr>
        <w:t>crowdfunding</w:t>
      </w:r>
      <w:proofErr w:type="spellEnd"/>
      <w:r w:rsidR="008B1FF9">
        <w:rPr>
          <w:spacing w:val="0"/>
        </w:rPr>
        <w:t>, “Espace Dons”</w:t>
      </w:r>
      <w:r w:rsidRPr="000B0254">
        <w:rPr>
          <w:spacing w:val="0"/>
        </w:rPr>
        <w:t xml:space="preserve">, dédiée aux associations, fondations et fonds de dotations. </w:t>
      </w:r>
    </w:p>
    <w:p w:rsidR="00E949EA" w:rsidRPr="000B0254" w:rsidRDefault="00E949EA" w:rsidP="00E949EA">
      <w:pPr>
        <w:pStyle w:val="2-TEXTECOURANTcommuniqu"/>
        <w:rPr>
          <w:spacing w:val="0"/>
        </w:rPr>
      </w:pPr>
    </w:p>
    <w:p w:rsidR="003D18E3" w:rsidRPr="000B0254" w:rsidRDefault="00E949EA" w:rsidP="00E949EA">
      <w:pPr>
        <w:pStyle w:val="2-TEXTECOURANTcommuniqu"/>
        <w:rPr>
          <w:spacing w:val="0"/>
        </w:rPr>
      </w:pPr>
      <w:r w:rsidRPr="000B0254">
        <w:rPr>
          <w:spacing w:val="0"/>
        </w:rPr>
        <w:t xml:space="preserve">Banque Populaire et Caisse d’Epargne, associées à Natixis </w:t>
      </w:r>
      <w:proofErr w:type="spellStart"/>
      <w:r w:rsidRPr="000B0254">
        <w:rPr>
          <w:spacing w:val="0"/>
        </w:rPr>
        <w:t>Payment</w:t>
      </w:r>
      <w:proofErr w:type="spellEnd"/>
      <w:r w:rsidRPr="000B0254">
        <w:rPr>
          <w:spacing w:val="0"/>
        </w:rPr>
        <w:t xml:space="preserve"> Solutions et </w:t>
      </w:r>
      <w:proofErr w:type="spellStart"/>
      <w:r w:rsidRPr="000B0254">
        <w:rPr>
          <w:spacing w:val="0"/>
        </w:rPr>
        <w:t>Oberthur</w:t>
      </w:r>
      <w:proofErr w:type="spellEnd"/>
      <w:r w:rsidRPr="000B0254">
        <w:rPr>
          <w:spacing w:val="0"/>
        </w:rPr>
        <w:t xml:space="preserve"> Technologies (OT), l’un des leaders mondiaux de solutions de sécurité numérique, ont annoncé l’expérimentation de la première carte de paiement intégrant un cryptogramme dynamique, Motion </w:t>
      </w:r>
      <w:proofErr w:type="spellStart"/>
      <w:r w:rsidRPr="000B0254">
        <w:rPr>
          <w:spacing w:val="0"/>
        </w:rPr>
        <w:t>CodeTM</w:t>
      </w:r>
      <w:proofErr w:type="spellEnd"/>
      <w:r w:rsidRPr="000B0254">
        <w:rPr>
          <w:spacing w:val="0"/>
        </w:rPr>
        <w:t>. Grâce à cette technologie, le code de sécurité à trois chiffres imprimé au dos de la cart</w:t>
      </w:r>
      <w:r w:rsidR="000B0254">
        <w:rPr>
          <w:spacing w:val="0"/>
        </w:rPr>
        <w:t xml:space="preserve">e bancaire est remplacé par un mini </w:t>
      </w:r>
      <w:r w:rsidRPr="000B0254">
        <w:rPr>
          <w:spacing w:val="0"/>
        </w:rPr>
        <w:t xml:space="preserve">écran affichant un code qui se renouvelle </w:t>
      </w:r>
      <w:r w:rsidR="009F0686" w:rsidRPr="000B0254">
        <w:rPr>
          <w:spacing w:val="0"/>
        </w:rPr>
        <w:t xml:space="preserve">régulièrement et </w:t>
      </w:r>
      <w:r w:rsidRPr="000B0254">
        <w:rPr>
          <w:spacing w:val="0"/>
        </w:rPr>
        <w:t xml:space="preserve">automatiquement, permettant ainsi de mieux sécuriser les transactions en ligne. </w:t>
      </w:r>
    </w:p>
    <w:p w:rsidR="006C3CC3" w:rsidRPr="000B0254" w:rsidRDefault="006C3CC3" w:rsidP="00E949EA">
      <w:pPr>
        <w:pStyle w:val="2-TEXTECOURANTcommuniqu"/>
        <w:rPr>
          <w:spacing w:val="0"/>
        </w:rPr>
      </w:pPr>
    </w:p>
    <w:p w:rsidR="00E949EA" w:rsidRPr="000B0254" w:rsidRDefault="00E949EA" w:rsidP="00E949EA">
      <w:pPr>
        <w:pStyle w:val="2-TEXTECOURANTcommuniqu"/>
        <w:rPr>
          <w:spacing w:val="0"/>
        </w:rPr>
      </w:pPr>
      <w:r w:rsidRPr="000B0254">
        <w:rPr>
          <w:spacing w:val="0"/>
        </w:rPr>
        <w:t xml:space="preserve">La transformation digitale </w:t>
      </w:r>
      <w:r w:rsidR="009F0686" w:rsidRPr="000B0254">
        <w:rPr>
          <w:spacing w:val="0"/>
        </w:rPr>
        <w:t xml:space="preserve">du Groupe BPCE s’est accélérée </w:t>
      </w:r>
      <w:r w:rsidR="009E7C04" w:rsidRPr="000B0254">
        <w:rPr>
          <w:spacing w:val="0"/>
        </w:rPr>
        <w:t>avec</w:t>
      </w:r>
      <w:r w:rsidR="009F0686" w:rsidRPr="000B0254">
        <w:rPr>
          <w:spacing w:val="0"/>
        </w:rPr>
        <w:t xml:space="preserve"> </w:t>
      </w:r>
      <w:r w:rsidRPr="000B0254">
        <w:rPr>
          <w:spacing w:val="0"/>
        </w:rPr>
        <w:t xml:space="preserve">la signature d’un partenariat stratégique avec Facebook. Cette coopération permettra à toutes les marques et les métiers du groupe d’offrir à leurs clients des solutions innovantes toujours plus en </w:t>
      </w:r>
      <w:r w:rsidR="000B0254">
        <w:rPr>
          <w:spacing w:val="0"/>
        </w:rPr>
        <w:t>phase avec leurs usages sur le premier</w:t>
      </w:r>
      <w:r w:rsidRPr="000B0254">
        <w:rPr>
          <w:spacing w:val="0"/>
        </w:rPr>
        <w:t xml:space="preserve"> réseau social mondial. </w:t>
      </w:r>
    </w:p>
    <w:p w:rsidR="00E949EA" w:rsidRDefault="00E949EA" w:rsidP="00E949EA">
      <w:pPr>
        <w:jc w:val="left"/>
        <w:rPr>
          <w:b/>
          <w:color w:val="581D74" w:themeColor="accent1"/>
          <w:spacing w:val="-5"/>
          <w:sz w:val="20"/>
          <w:szCs w:val="20"/>
        </w:rPr>
      </w:pPr>
      <w:r>
        <w:rPr>
          <w:spacing w:val="-5"/>
        </w:rPr>
        <w:br w:type="page"/>
      </w:r>
    </w:p>
    <w:p w:rsidR="00E949EA" w:rsidRPr="00453D34" w:rsidRDefault="00E949EA" w:rsidP="00E949EA">
      <w:pPr>
        <w:pStyle w:val="4-Soustitre"/>
        <w:rPr>
          <w:spacing w:val="-5"/>
        </w:rPr>
      </w:pPr>
      <w:r w:rsidRPr="00453D34">
        <w:rPr>
          <w:spacing w:val="-5"/>
        </w:rPr>
        <w:lastRenderedPageBreak/>
        <w:t>Résultats financiers</w:t>
      </w:r>
      <w:r w:rsidRPr="00453D34">
        <w:rPr>
          <w:spacing w:val="-5"/>
        </w:rPr>
        <w:fldChar w:fldCharType="begin"/>
      </w:r>
      <w:r w:rsidRPr="00453D34">
        <w:rPr>
          <w:spacing w:val="-5"/>
        </w:rPr>
        <w:instrText xml:space="preserve"> NOTEREF _Ref414265226 \f \h  \* MERGEFORMAT </w:instrText>
      </w:r>
      <w:r w:rsidRPr="00453D34">
        <w:rPr>
          <w:spacing w:val="-5"/>
        </w:rPr>
      </w:r>
      <w:r w:rsidRPr="00453D34">
        <w:rPr>
          <w:spacing w:val="-5"/>
        </w:rPr>
        <w:fldChar w:fldCharType="separate"/>
      </w:r>
      <w:r w:rsidR="00A92C86" w:rsidRPr="00A92C86">
        <w:rPr>
          <w:rStyle w:val="Appelnotedebasdep"/>
        </w:rPr>
        <w:t>21</w:t>
      </w:r>
      <w:r w:rsidRPr="00453D34">
        <w:rPr>
          <w:spacing w:val="-5"/>
        </w:rPr>
        <w:fldChar w:fldCharType="end"/>
      </w:r>
      <w:r w:rsidRPr="00453D34">
        <w:rPr>
          <w:spacing w:val="-5"/>
        </w:rPr>
        <w:t xml:space="preserve"> du </w:t>
      </w:r>
      <w:r>
        <w:rPr>
          <w:spacing w:val="-5"/>
        </w:rPr>
        <w:t>deuxième trimestre</w:t>
      </w:r>
      <w:r w:rsidRPr="00453D34">
        <w:rPr>
          <w:spacing w:val="-5"/>
        </w:rPr>
        <w:t xml:space="preserve"> </w:t>
      </w:r>
      <w:r>
        <w:rPr>
          <w:spacing w:val="-5"/>
        </w:rPr>
        <w:t xml:space="preserve">et du premier semestre 2015 </w:t>
      </w:r>
      <w:r w:rsidRPr="00453D34">
        <w:rPr>
          <w:spacing w:val="-5"/>
        </w:rPr>
        <w:t xml:space="preserve">de la Banque commerciale et Assurance </w:t>
      </w:r>
    </w:p>
    <w:p w:rsidR="00E949EA" w:rsidRDefault="00E949EA" w:rsidP="00E949EA">
      <w:pPr>
        <w:pStyle w:val="2-TEXTECOURANTcommuniqu"/>
      </w:pPr>
      <w:r w:rsidRPr="005A0DC1">
        <w:t xml:space="preserve">Les </w:t>
      </w:r>
      <w:r w:rsidRPr="005A0DC1">
        <w:rPr>
          <w:b/>
        </w:rPr>
        <w:t>revenus</w:t>
      </w:r>
      <w:r w:rsidRPr="005A0DC1">
        <w:t xml:space="preserve"> de la Banque commerciale et Assurance s’établissent à 3 </w:t>
      </w:r>
      <w:r>
        <w:t>904</w:t>
      </w:r>
      <w:r w:rsidRPr="005A0DC1">
        <w:t xml:space="preserve"> millions d’euros</w:t>
      </w:r>
      <w:bookmarkStart w:id="13" w:name="_Ref425776157"/>
      <w:r w:rsidRPr="005A0DC1">
        <w:rPr>
          <w:rStyle w:val="Appelnotedebasdep"/>
        </w:rPr>
        <w:footnoteReference w:id="22"/>
      </w:r>
      <w:bookmarkEnd w:id="13"/>
      <w:r w:rsidRPr="005A0DC1">
        <w:t xml:space="preserve"> au deuxième trimestre 2015, soit une croissance de 4,</w:t>
      </w:r>
      <w:r>
        <w:t>7</w:t>
      </w:r>
      <w:r w:rsidRPr="005A0DC1">
        <w:t xml:space="preserve"> % par rapp</w:t>
      </w:r>
      <w:r w:rsidR="001B4331">
        <w:t xml:space="preserve">ort au deuxième trimestre 2014. </w:t>
      </w:r>
      <w:r>
        <w:t>Ils s’élèvent à 7 866 millions d’euros</w:t>
      </w:r>
      <w:r w:rsidR="001B4331">
        <w:fldChar w:fldCharType="begin"/>
      </w:r>
      <w:r w:rsidR="001B4331">
        <w:instrText xml:space="preserve"> NOTEREF _Ref425776157 \f \h </w:instrText>
      </w:r>
      <w:r w:rsidR="001B4331">
        <w:fldChar w:fldCharType="separate"/>
      </w:r>
      <w:r w:rsidR="00A92C86" w:rsidRPr="00A92C86">
        <w:rPr>
          <w:rStyle w:val="Appelnotedebasdep"/>
        </w:rPr>
        <w:t>22</w:t>
      </w:r>
      <w:r w:rsidR="001B4331">
        <w:fldChar w:fldCharType="end"/>
      </w:r>
      <w:r>
        <w:t xml:space="preserve"> </w:t>
      </w:r>
      <w:r w:rsidR="0095488E">
        <w:t>sur le</w:t>
      </w:r>
      <w:r>
        <w:t xml:space="preserve"> premier semestre 2015, soit une hausse de 4,8 % par rapport au premier semestre 2014.</w:t>
      </w:r>
      <w:r w:rsidR="00D34575">
        <w:t xml:space="preserve"> </w:t>
      </w:r>
      <w:r w:rsidRPr="00117FD9">
        <w:t xml:space="preserve">Dans un contexte de taux bas persistant, la marge nette d’intérêt </w:t>
      </w:r>
      <w:r>
        <w:t xml:space="preserve">clientèle </w:t>
      </w:r>
      <w:r w:rsidRPr="00117FD9">
        <w:t>reste sous pression.</w:t>
      </w:r>
      <w:r w:rsidR="001B4331">
        <w:t xml:space="preserve"> </w:t>
      </w:r>
      <w:r>
        <w:t xml:space="preserve">Les </w:t>
      </w:r>
      <w:r w:rsidRPr="00117FD9">
        <w:t>commissions sur l’activité crédit</w:t>
      </w:r>
      <w:r>
        <w:t xml:space="preserve"> ont fortement augmenté en raison du </w:t>
      </w:r>
      <w:r w:rsidRPr="00117FD9">
        <w:t>nombre accru de renégociations et de remboursements anticipés</w:t>
      </w:r>
      <w:r>
        <w:t xml:space="preserve">. </w:t>
      </w:r>
    </w:p>
    <w:p w:rsidR="00E949EA" w:rsidRPr="00060AC7" w:rsidRDefault="00E949EA" w:rsidP="00E949EA">
      <w:pPr>
        <w:pStyle w:val="2-TEXTECOURANTcommuniqu"/>
      </w:pPr>
    </w:p>
    <w:p w:rsidR="00E949EA" w:rsidRPr="00060AC7" w:rsidRDefault="00E949EA" w:rsidP="00E949EA">
      <w:pPr>
        <w:pStyle w:val="2-TEXTECOURANTcommuniqu"/>
      </w:pPr>
      <w:r w:rsidRPr="00060AC7">
        <w:t xml:space="preserve">Les </w:t>
      </w:r>
      <w:r w:rsidRPr="00060AC7">
        <w:rPr>
          <w:b/>
        </w:rPr>
        <w:t>frais de gestion</w:t>
      </w:r>
      <w:r>
        <w:t xml:space="preserve"> sont maîtrisés</w:t>
      </w:r>
      <w:r w:rsidRPr="00060AC7">
        <w:t xml:space="preserve">, s’établissant à 2 448 millions d’euros au </w:t>
      </w:r>
      <w:r>
        <w:t xml:space="preserve">deuxième trimestre 2015, ce qui les porte à 5 052 </w:t>
      </w:r>
      <w:r w:rsidRPr="00060AC7">
        <w:t xml:space="preserve">millions d’euros au </w:t>
      </w:r>
      <w:r>
        <w:t>premier semestre 2015, stables sur un an</w:t>
      </w:r>
      <w:r w:rsidRPr="00060AC7">
        <w:t>.</w:t>
      </w:r>
    </w:p>
    <w:p w:rsidR="00E949EA" w:rsidRPr="00060AC7" w:rsidRDefault="00E949EA" w:rsidP="00E949EA">
      <w:pPr>
        <w:pStyle w:val="2-TEXTECOURANTcommuniqu"/>
      </w:pPr>
    </w:p>
    <w:p w:rsidR="00FE7C7E" w:rsidRDefault="00E949EA" w:rsidP="00E949EA">
      <w:pPr>
        <w:pStyle w:val="2-TEXTECOURANTcommuniqu"/>
      </w:pPr>
      <w:r w:rsidRPr="00060AC7">
        <w:t xml:space="preserve">Le </w:t>
      </w:r>
      <w:r w:rsidRPr="00060AC7">
        <w:rPr>
          <w:b/>
        </w:rPr>
        <w:t>résultat brut d’exploitation</w:t>
      </w:r>
      <w:r w:rsidRPr="00060AC7">
        <w:t xml:space="preserve"> s’établit à 1 440 millions d’euros</w:t>
      </w:r>
      <w:r>
        <w:t xml:space="preserve"> </w:t>
      </w:r>
      <w:r w:rsidRPr="00060AC7">
        <w:t xml:space="preserve">au </w:t>
      </w:r>
      <w:r>
        <w:t>deuxième trimestre 2015</w:t>
      </w:r>
      <w:r w:rsidRPr="00060AC7">
        <w:t>, en hausse de 11,4</w:t>
      </w:r>
      <w:r>
        <w:t xml:space="preserve"> % sur un an. Sur le semestre</w:t>
      </w:r>
      <w:r w:rsidR="003A19D4">
        <w:t>, il</w:t>
      </w:r>
      <w:r w:rsidRPr="00060AC7">
        <w:t xml:space="preserve"> </w:t>
      </w:r>
      <w:r>
        <w:t>progresse de 13,8 %, à 2 787 </w:t>
      </w:r>
      <w:r w:rsidRPr="00060AC7">
        <w:t>millions d’euros</w:t>
      </w:r>
      <w:r>
        <w:t>.</w:t>
      </w:r>
    </w:p>
    <w:p w:rsidR="00E949EA" w:rsidRDefault="00E949EA" w:rsidP="00E949EA">
      <w:pPr>
        <w:pStyle w:val="2-TEXTECOURANTcommuniqu"/>
      </w:pPr>
      <w:r>
        <w:t xml:space="preserve"> </w:t>
      </w:r>
    </w:p>
    <w:p w:rsidR="00E949EA" w:rsidRPr="00EE1174" w:rsidRDefault="00E949EA" w:rsidP="00FE7C7E">
      <w:pPr>
        <w:autoSpaceDE w:val="0"/>
        <w:autoSpaceDN w:val="0"/>
        <w:adjustRightInd w:val="0"/>
        <w:spacing w:before="120"/>
        <w:rPr>
          <w:rFonts w:eastAsia="Times New Roman" w:cs="Verdana,Italic"/>
          <w:iCs/>
          <w:color w:val="000000"/>
          <w:sz w:val="20"/>
          <w:szCs w:val="20"/>
        </w:rPr>
      </w:pPr>
      <w:r>
        <w:rPr>
          <w:rFonts w:eastAsia="Times New Roman" w:cs="Verdana,Italic"/>
          <w:iCs/>
          <w:color w:val="000000"/>
          <w:sz w:val="20"/>
          <w:szCs w:val="20"/>
        </w:rPr>
        <w:t xml:space="preserve">Le </w:t>
      </w:r>
      <w:r w:rsidRPr="00E80115">
        <w:rPr>
          <w:rFonts w:eastAsia="Times New Roman" w:cs="Verdana,Italic"/>
          <w:b/>
          <w:iCs/>
          <w:color w:val="000000"/>
          <w:sz w:val="20"/>
          <w:szCs w:val="20"/>
        </w:rPr>
        <w:t>coût du risque</w:t>
      </w:r>
      <w:r>
        <w:rPr>
          <w:rFonts w:eastAsia="Times New Roman" w:cs="Verdana,Italic"/>
          <w:iCs/>
          <w:color w:val="000000"/>
          <w:sz w:val="20"/>
          <w:szCs w:val="20"/>
        </w:rPr>
        <w:t xml:space="preserve">, à 359 millions d’euros sur le trimestre, </w:t>
      </w:r>
      <w:r w:rsidR="001B4331">
        <w:rPr>
          <w:rFonts w:eastAsia="Times New Roman" w:cs="Verdana,Italic"/>
          <w:iCs/>
          <w:color w:val="000000"/>
          <w:sz w:val="20"/>
          <w:szCs w:val="20"/>
        </w:rPr>
        <w:t>s’améliore</w:t>
      </w:r>
      <w:r>
        <w:rPr>
          <w:rFonts w:eastAsia="Times New Roman" w:cs="Verdana,Italic"/>
          <w:iCs/>
          <w:color w:val="000000"/>
          <w:sz w:val="20"/>
          <w:szCs w:val="20"/>
        </w:rPr>
        <w:t xml:space="preserve"> de 4,1 %. </w:t>
      </w:r>
      <w:r w:rsidR="0091072A" w:rsidRPr="00302EBA">
        <w:rPr>
          <w:sz w:val="20"/>
          <w:szCs w:val="20"/>
        </w:rPr>
        <w:t>À</w:t>
      </w:r>
      <w:r w:rsidR="003834CA">
        <w:rPr>
          <w:rFonts w:eastAsia="Times New Roman" w:cs="Verdana,Italic"/>
          <w:iCs/>
          <w:color w:val="000000"/>
          <w:sz w:val="20"/>
          <w:szCs w:val="20"/>
        </w:rPr>
        <w:t xml:space="preserve"> 752 millions d’euros au premier semestre, il augmente de 5,4 % par rapport au premier semestre 2014.</w:t>
      </w:r>
    </w:p>
    <w:p w:rsidR="00E949EA" w:rsidRPr="00060AC7" w:rsidRDefault="00E949EA" w:rsidP="00E949EA">
      <w:pPr>
        <w:pStyle w:val="2-TEXTECOURANTcommuniqu"/>
      </w:pPr>
    </w:p>
    <w:p w:rsidR="00592687" w:rsidRPr="00EC1F67" w:rsidRDefault="00E949EA" w:rsidP="00592687">
      <w:pPr>
        <w:pStyle w:val="2-TEXTECOURANTcommuniqu"/>
      </w:pPr>
      <w:r w:rsidRPr="00F06353">
        <w:t xml:space="preserve">La </w:t>
      </w:r>
      <w:r w:rsidRPr="00F06353">
        <w:rPr>
          <w:b/>
        </w:rPr>
        <w:t>contribution de la Banque commerciale et Assurance au résultat avant impôt du groupe</w:t>
      </w:r>
      <w:r w:rsidRPr="00F06353">
        <w:t xml:space="preserve"> s’établit à 1 136 millions d’euros à la fin du deuxième trimestre 2015, en hausse de 15,3 % par rapport au deux</w:t>
      </w:r>
      <w:r w:rsidR="00465269">
        <w:t xml:space="preserve">ième trimestre de l’année 2014. </w:t>
      </w:r>
      <w:r w:rsidR="004639EA">
        <w:t>Le résultat avant impôt</w:t>
      </w:r>
      <w:r w:rsidR="00592687" w:rsidRPr="00EC1F67">
        <w:t xml:space="preserve"> ressort à 2 148 millions d’euros au premier semestre 2015, </w:t>
      </w:r>
      <w:r w:rsidR="0075500C">
        <w:t>en</w:t>
      </w:r>
      <w:r w:rsidR="00592687" w:rsidRPr="00EC1F67">
        <w:t xml:space="preserve"> hausse de 16</w:t>
      </w:r>
      <w:r w:rsidR="00FE7C7E">
        <w:t>,0</w:t>
      </w:r>
      <w:r w:rsidR="00592687" w:rsidRPr="00EC1F67">
        <w:t> %</w:t>
      </w:r>
      <w:r w:rsidR="00BC1197">
        <w:t xml:space="preserve"> sur un an</w:t>
      </w:r>
      <w:r w:rsidR="00592687" w:rsidRPr="00EC1F67">
        <w:t>.</w:t>
      </w:r>
    </w:p>
    <w:p w:rsidR="00E949EA" w:rsidRPr="00FD1FEC" w:rsidRDefault="00E949EA" w:rsidP="00E949EA">
      <w:pPr>
        <w:pStyle w:val="2-TEXTECOURANTcommuniqu"/>
        <w:rPr>
          <w:color w:val="FF0000"/>
        </w:rPr>
      </w:pPr>
    </w:p>
    <w:p w:rsidR="00AC1997" w:rsidRPr="00D746C4" w:rsidRDefault="00E949EA" w:rsidP="00AC1997">
      <w:pPr>
        <w:pStyle w:val="2-TEXTECOURANTcommuniqu"/>
      </w:pPr>
      <w:r w:rsidRPr="00B72013">
        <w:rPr>
          <w:b/>
        </w:rPr>
        <w:t>En retraitant l’impact de l’IFRIC 21,</w:t>
      </w:r>
      <w:r w:rsidRPr="00F06353">
        <w:t xml:space="preserve"> </w:t>
      </w:r>
      <w:r w:rsidRPr="00F06353">
        <w:rPr>
          <w:b/>
        </w:rPr>
        <w:t xml:space="preserve">le résultat avant impôt </w:t>
      </w:r>
      <w:r w:rsidRPr="00F06353">
        <w:t>s’élève</w:t>
      </w:r>
      <w:r w:rsidR="000A320F">
        <w:t xml:space="preserve"> au deuxième trimestre</w:t>
      </w:r>
      <w:r w:rsidRPr="00F06353">
        <w:t xml:space="preserve"> à 1 093 millions d’euros, </w:t>
      </w:r>
      <w:r w:rsidR="0075500C">
        <w:t>en progression de</w:t>
      </w:r>
      <w:r w:rsidRPr="00F06353">
        <w:t xml:space="preserve"> 17,1 % sur un an. Les Caisses d’Epargne contribuent à hauteur de 46 % à ce résultat, les Banques Populaires à </w:t>
      </w:r>
      <w:r w:rsidR="0075500C">
        <w:t xml:space="preserve">hauteur de </w:t>
      </w:r>
      <w:r w:rsidRPr="00F06353">
        <w:t xml:space="preserve">39 %, et les Autres réseaux à </w:t>
      </w:r>
      <w:r w:rsidR="0075500C">
        <w:t xml:space="preserve">hauteur de </w:t>
      </w:r>
      <w:r w:rsidRPr="00F06353">
        <w:t>15 %.</w:t>
      </w:r>
      <w:r w:rsidR="00592687" w:rsidRPr="00592687">
        <w:rPr>
          <w:b/>
        </w:rPr>
        <w:t xml:space="preserve"> </w:t>
      </w:r>
      <w:r w:rsidR="00592687" w:rsidRPr="00592687">
        <w:t>Le résultat avant impôt</w:t>
      </w:r>
      <w:r w:rsidR="00592687" w:rsidRPr="00EC1F67">
        <w:rPr>
          <w:b/>
        </w:rPr>
        <w:t xml:space="preserve"> </w:t>
      </w:r>
      <w:r w:rsidR="00592687">
        <w:t xml:space="preserve">du premier semestre s’établit à 2 233 millions d’euros, en progression de 14,2 % par rapport au premier semestre 2014. </w:t>
      </w:r>
      <w:r w:rsidRPr="00F06353">
        <w:t xml:space="preserve">Le </w:t>
      </w:r>
      <w:r w:rsidRPr="00F06353">
        <w:rPr>
          <w:b/>
        </w:rPr>
        <w:t>coefficient d’exploitation</w:t>
      </w:r>
      <w:r w:rsidRPr="00F06353">
        <w:t xml:space="preserve"> s’améliore de 2,7</w:t>
      </w:r>
      <w:r w:rsidR="000B0254">
        <w:t> </w:t>
      </w:r>
      <w:r w:rsidRPr="00F06353">
        <w:t xml:space="preserve">points par rapport au deuxième trimestre 2014, à 64,1 %. </w:t>
      </w:r>
      <w:r w:rsidR="00B72013">
        <w:t xml:space="preserve">Sur le semestre, il diminue de 2,6 points et ressort à 63,4 %. </w:t>
      </w:r>
      <w:r w:rsidR="00AC1997" w:rsidRPr="00BC6054">
        <w:rPr>
          <w:spacing w:val="0"/>
        </w:rPr>
        <w:t xml:space="preserve">Le </w:t>
      </w:r>
      <w:r w:rsidR="00AC1997" w:rsidRPr="00BC6054">
        <w:rPr>
          <w:rStyle w:val="lev"/>
          <w:spacing w:val="0"/>
        </w:rPr>
        <w:t>ROE</w:t>
      </w:r>
      <w:r w:rsidR="00AC1997" w:rsidRPr="00BC6054">
        <w:rPr>
          <w:spacing w:val="0"/>
        </w:rPr>
        <w:t xml:space="preserve"> </w:t>
      </w:r>
      <w:r w:rsidR="00AC1997">
        <w:rPr>
          <w:spacing w:val="0"/>
        </w:rPr>
        <w:t>s’établit à 9</w:t>
      </w:r>
      <w:r w:rsidR="002A167E">
        <w:rPr>
          <w:spacing w:val="0"/>
        </w:rPr>
        <w:t> % au deuxième trimestre 2015</w:t>
      </w:r>
      <w:r w:rsidR="00AC1997" w:rsidRPr="00BC6054">
        <w:rPr>
          <w:spacing w:val="0"/>
        </w:rPr>
        <w:t xml:space="preserve"> </w:t>
      </w:r>
      <w:r w:rsidR="002A167E">
        <w:rPr>
          <w:spacing w:val="0"/>
        </w:rPr>
        <w:t xml:space="preserve">et à 10 % au </w:t>
      </w:r>
      <w:r w:rsidR="00AC1997" w:rsidRPr="00BC6054">
        <w:rPr>
          <w:spacing w:val="0"/>
        </w:rPr>
        <w:t>premier semestre 201</w:t>
      </w:r>
      <w:r w:rsidR="002A167E">
        <w:rPr>
          <w:spacing w:val="0"/>
        </w:rPr>
        <w:t>5, en hausse de 1 point</w:t>
      </w:r>
      <w:r w:rsidR="00AC1997" w:rsidRPr="00BC6054">
        <w:rPr>
          <w:spacing w:val="0"/>
        </w:rPr>
        <w:t xml:space="preserve">. </w:t>
      </w:r>
    </w:p>
    <w:p w:rsidR="00CF126E" w:rsidRDefault="00CF126E" w:rsidP="00CF126E">
      <w:pPr>
        <w:pStyle w:val="3-Titre2"/>
      </w:pPr>
      <w:r>
        <w:rPr>
          <w:rStyle w:val="orange"/>
        </w:rPr>
        <w:t>3</w:t>
      </w:r>
      <w:r w:rsidRPr="008E2B05">
        <w:rPr>
          <w:rStyle w:val="orange"/>
        </w:rPr>
        <w:t>.1.1</w:t>
      </w:r>
      <w:r>
        <w:t xml:space="preserve"> Banque Populaire : forte croissance de l’épargne, baisse du coût du risque</w:t>
      </w:r>
    </w:p>
    <w:p w:rsidR="00CF126E" w:rsidRPr="005547E2" w:rsidRDefault="00CF126E" w:rsidP="00CF126E">
      <w:pPr>
        <w:pStyle w:val="intro"/>
      </w:pPr>
      <w:r w:rsidRPr="005547E2">
        <w:t xml:space="preserve">Le réseau Banque Populaire regroupe les 18 Banques Populaires, dont la CASDEN Banque Populaire et le Crédit Coopératif ainsi que leurs filiales, le Crédit Maritime Mutuel et les sociétés de caution mutuelle. </w:t>
      </w:r>
    </w:p>
    <w:p w:rsidR="00CF126E" w:rsidRPr="002B3D74" w:rsidRDefault="00CF126E" w:rsidP="00CF126E">
      <w:pPr>
        <w:pStyle w:val="2-TEXTECOURANTcommuniqu"/>
        <w:rPr>
          <w:color w:val="FF0000"/>
        </w:rPr>
      </w:pPr>
    </w:p>
    <w:p w:rsidR="00CF126E" w:rsidRPr="003F0FFC" w:rsidRDefault="00CF126E" w:rsidP="00CF126E">
      <w:pPr>
        <w:pStyle w:val="3-Titre3"/>
      </w:pPr>
      <w:r w:rsidRPr="003F0FFC">
        <w:t>Fonds de commerce</w:t>
      </w:r>
    </w:p>
    <w:p w:rsidR="00CF126E" w:rsidRPr="003F0FFC" w:rsidRDefault="00CF126E" w:rsidP="00CF126E">
      <w:pPr>
        <w:pStyle w:val="2-TEXTECOURANTcommuniqu"/>
      </w:pPr>
    </w:p>
    <w:p w:rsidR="00CF126E" w:rsidRPr="00F7798C" w:rsidRDefault="00CF126E" w:rsidP="00CF126E">
      <w:pPr>
        <w:pStyle w:val="2-TEXTECOURANTcommuniqu"/>
      </w:pPr>
      <w:r w:rsidRPr="00F7798C">
        <w:t xml:space="preserve">Le réseau Banque Populaire poursuit </w:t>
      </w:r>
      <w:r w:rsidRPr="009A35FF">
        <w:t>sa stratégie de développement sur les clientèles prioritaires, qui se traduit par une progression de 5,8 % sur un an d</w:t>
      </w:r>
      <w:r w:rsidR="002C7CEE">
        <w:t>u</w:t>
      </w:r>
      <w:r w:rsidR="00015E43">
        <w:t xml:space="preserve"> nombre d</w:t>
      </w:r>
      <w:r w:rsidRPr="009A35FF">
        <w:t xml:space="preserve">e </w:t>
      </w:r>
      <w:r w:rsidR="002C7CEE">
        <w:t xml:space="preserve">ses </w:t>
      </w:r>
      <w:r w:rsidRPr="009A35FF">
        <w:t xml:space="preserve">clients particuliers équipés et assurés, par une hausse de 1,5 % </w:t>
      </w:r>
      <w:r w:rsidR="002C7CEE" w:rsidRPr="009A35FF">
        <w:t>d</w:t>
      </w:r>
      <w:r w:rsidR="002C7CEE">
        <w:t>u nombre d</w:t>
      </w:r>
      <w:r w:rsidR="002C7CEE" w:rsidRPr="009A35FF">
        <w:t xml:space="preserve">e </w:t>
      </w:r>
      <w:r w:rsidR="002C7CEE">
        <w:t xml:space="preserve">ses </w:t>
      </w:r>
      <w:r w:rsidRPr="00FF7E3F">
        <w:t xml:space="preserve">clients bancarisés principaux et </w:t>
      </w:r>
      <w:r w:rsidRPr="009A35FF">
        <w:t xml:space="preserve">par une augmentation de 2,2 % </w:t>
      </w:r>
      <w:r w:rsidR="002C7CEE" w:rsidRPr="009A35FF">
        <w:t>d</w:t>
      </w:r>
      <w:r w:rsidR="002C7CEE">
        <w:t>u nombre d</w:t>
      </w:r>
      <w:r w:rsidR="002C7CEE" w:rsidRPr="009A35FF">
        <w:t xml:space="preserve">e </w:t>
      </w:r>
      <w:r w:rsidR="002C7CEE">
        <w:t xml:space="preserve">ses </w:t>
      </w:r>
      <w:r w:rsidRPr="009A35FF">
        <w:t xml:space="preserve">clients professionnels en double relation </w:t>
      </w:r>
      <w:r>
        <w:t>active.</w:t>
      </w:r>
      <w:r w:rsidRPr="00F7798C">
        <w:t xml:space="preserve"> </w:t>
      </w:r>
    </w:p>
    <w:p w:rsidR="00CF126E" w:rsidRPr="002B3D74" w:rsidRDefault="00CF126E" w:rsidP="00CF126E">
      <w:pPr>
        <w:pStyle w:val="2-TEXTECOURANTcommuniqu"/>
        <w:rPr>
          <w:color w:val="FF0000"/>
        </w:rPr>
      </w:pPr>
    </w:p>
    <w:p w:rsidR="00CF126E" w:rsidRPr="00111797" w:rsidRDefault="00CF126E" w:rsidP="00CF126E">
      <w:pPr>
        <w:pStyle w:val="3-Titre3"/>
      </w:pPr>
      <w:r w:rsidRPr="00111797">
        <w:t>Épargne</w:t>
      </w:r>
    </w:p>
    <w:p w:rsidR="00CF126E" w:rsidRPr="00111797" w:rsidRDefault="00CF126E" w:rsidP="00CF126E">
      <w:pPr>
        <w:pStyle w:val="2-TEXTECOURANTcommuniqu"/>
      </w:pPr>
    </w:p>
    <w:p w:rsidR="00CF126E" w:rsidRPr="00FD1FEC" w:rsidRDefault="00CF126E" w:rsidP="00CF126E">
      <w:pPr>
        <w:pStyle w:val="2-TEXTECOURANTcommuniqu"/>
        <w:rPr>
          <w:color w:val="FF0000"/>
        </w:rPr>
      </w:pPr>
      <w:r w:rsidRPr="00A22AEC">
        <w:t xml:space="preserve">Les encours d’épargne ont enregistré une forte croissance, à hauteur de </w:t>
      </w:r>
      <w:r>
        <w:t>15</w:t>
      </w:r>
      <w:r w:rsidRPr="00A22AEC">
        <w:t xml:space="preserve"> milliards d’euros sur un an</w:t>
      </w:r>
      <w:r w:rsidRPr="00E42BAA">
        <w:t xml:space="preserve">. Ils s’établissent ainsi à 228 milliards d’euros au 30 juin 2015. </w:t>
      </w:r>
      <w:r w:rsidRPr="00A22AEC">
        <w:t xml:space="preserve">Hors centralisation, les encours d’épargne de bilan </w:t>
      </w:r>
      <w:r w:rsidRPr="009F0686">
        <w:t xml:space="preserve">s’élèvent </w:t>
      </w:r>
      <w:r w:rsidRPr="00137DF2">
        <w:t xml:space="preserve">à </w:t>
      </w:r>
      <w:r w:rsidR="00137DF2" w:rsidRPr="00137DF2">
        <w:t>1</w:t>
      </w:r>
      <w:r w:rsidR="004A79F3">
        <w:t>49</w:t>
      </w:r>
      <w:r w:rsidRPr="00137DF2">
        <w:t xml:space="preserve"> milliards </w:t>
      </w:r>
      <w:r w:rsidRPr="009F0686">
        <w:t xml:space="preserve">d’euros, soit </w:t>
      </w:r>
      <w:r w:rsidRPr="00A22AEC">
        <w:t xml:space="preserve">une croissance de 9,2 % </w:t>
      </w:r>
      <w:r>
        <w:t xml:space="preserve">sur un an glissant </w:t>
      </w:r>
      <w:r w:rsidRPr="00A22AEC">
        <w:t>portée, notamment, par les dépôts à vue (+ 14,8 %) et l’épargne logement (+ 9,7 %).</w:t>
      </w:r>
    </w:p>
    <w:p w:rsidR="00CF126E" w:rsidRDefault="00CF126E" w:rsidP="00CF126E">
      <w:pPr>
        <w:pStyle w:val="2-TEXTECOURANTcommuniqu"/>
        <w:rPr>
          <w:color w:val="FF0000"/>
        </w:rPr>
      </w:pPr>
      <w:r w:rsidRPr="00B67E6C">
        <w:t>En parallèle, les encours d’assuran</w:t>
      </w:r>
      <w:r>
        <w:t>ce</w:t>
      </w:r>
      <w:r w:rsidR="00FF7E3F">
        <w:t xml:space="preserve"> vie affichent une hausse de 4,8</w:t>
      </w:r>
      <w:r w:rsidRPr="00B67E6C">
        <w:t xml:space="preserve"> % sur un an</w:t>
      </w:r>
      <w:r w:rsidR="00392FD2">
        <w:t>.</w:t>
      </w:r>
      <w:r w:rsidRPr="00B67E6C">
        <w:t xml:space="preserve"> </w:t>
      </w:r>
    </w:p>
    <w:p w:rsidR="0069799C" w:rsidRDefault="0069799C">
      <w:pPr>
        <w:jc w:val="left"/>
        <w:rPr>
          <w:color w:val="FF0000"/>
          <w:spacing w:val="-4"/>
          <w:sz w:val="20"/>
          <w:szCs w:val="20"/>
        </w:rPr>
      </w:pPr>
      <w:r>
        <w:rPr>
          <w:color w:val="FF0000"/>
        </w:rPr>
        <w:br w:type="page"/>
      </w:r>
    </w:p>
    <w:p w:rsidR="00392FD2" w:rsidRPr="002B3D74" w:rsidRDefault="00392FD2" w:rsidP="00CF126E">
      <w:pPr>
        <w:pStyle w:val="2-TEXTECOURANTcommuniqu"/>
        <w:rPr>
          <w:color w:val="FF0000"/>
        </w:rPr>
      </w:pPr>
    </w:p>
    <w:p w:rsidR="00CF126E" w:rsidRPr="00334078" w:rsidRDefault="00CF126E" w:rsidP="00CF126E">
      <w:pPr>
        <w:pStyle w:val="3-Titre3"/>
      </w:pPr>
      <w:r w:rsidRPr="00334078">
        <w:t>Crédits</w:t>
      </w:r>
    </w:p>
    <w:p w:rsidR="00CF126E" w:rsidRPr="00334078" w:rsidRDefault="00CF126E" w:rsidP="00CF126E">
      <w:pPr>
        <w:pStyle w:val="2-TEXTECOURANTcommuniqu"/>
      </w:pPr>
    </w:p>
    <w:p w:rsidR="00CF126E" w:rsidRPr="00FD1FEC" w:rsidRDefault="00CF126E" w:rsidP="00CF126E">
      <w:pPr>
        <w:pStyle w:val="2-TEXTECOURANTcommuniqu"/>
        <w:rPr>
          <w:color w:val="FF0000"/>
        </w:rPr>
      </w:pPr>
      <w:r w:rsidRPr="00B67E6C">
        <w:t xml:space="preserve">Les encours de crédit s’établissent </w:t>
      </w:r>
      <w:r w:rsidRPr="00346F66">
        <w:t xml:space="preserve">à 169 milliards d’euros </w:t>
      </w:r>
      <w:r w:rsidRPr="00B67E6C">
        <w:t>à fin juin 2015</w:t>
      </w:r>
      <w:r w:rsidRPr="00346F66">
        <w:t xml:space="preserve">, enregistrant une progression de 1,3 </w:t>
      </w:r>
      <w:r w:rsidRPr="000D402D">
        <w:t>%</w:t>
      </w:r>
      <w:r w:rsidRPr="00697C38">
        <w:rPr>
          <w:rStyle w:val="Appelnotedebasdep"/>
        </w:rPr>
        <w:footnoteReference w:id="23"/>
      </w:r>
      <w:r w:rsidRPr="00697C38">
        <w:t xml:space="preserve"> </w:t>
      </w:r>
      <w:r w:rsidRPr="000D402D">
        <w:t>sur un an.</w:t>
      </w:r>
      <w:r w:rsidR="001A36A0">
        <w:rPr>
          <w:color w:val="FF0000"/>
        </w:rPr>
        <w:t xml:space="preserve"> </w:t>
      </w:r>
      <w:r w:rsidRPr="00720A31">
        <w:t>Sur la période, les encours de crédits immobiliers progressent de 3,3 </w:t>
      </w:r>
      <w:r w:rsidRPr="008659C6">
        <w:t xml:space="preserve">% sur un an. </w:t>
      </w:r>
      <w:r>
        <w:t>L</w:t>
      </w:r>
      <w:r w:rsidRPr="00720A31">
        <w:t xml:space="preserve">a production de </w:t>
      </w:r>
      <w:r>
        <w:t xml:space="preserve">crédits à la consommation </w:t>
      </w:r>
      <w:r w:rsidR="004A79F3">
        <w:t xml:space="preserve">a été très dynamique, enregistrant </w:t>
      </w:r>
      <w:r>
        <w:t xml:space="preserve">une hausse de </w:t>
      </w:r>
      <w:r w:rsidRPr="00720A31">
        <w:t xml:space="preserve">17 % </w:t>
      </w:r>
      <w:r w:rsidR="004A79F3">
        <w:t>au</w:t>
      </w:r>
      <w:r>
        <w:t xml:space="preserve"> premier semestre 2015</w:t>
      </w:r>
      <w:r w:rsidR="004A79F3">
        <w:t xml:space="preserve"> par rapport au premier semestre 2014. Sur la même période, </w:t>
      </w:r>
      <w:r w:rsidRPr="005F13B9">
        <w:t>la production de crédits à l</w:t>
      </w:r>
      <w:r>
        <w:t>’équipement</w:t>
      </w:r>
      <w:r w:rsidR="004A79F3">
        <w:t xml:space="preserve"> a confirmé un redémarrage amorcé fin 2014 et s’est affiché</w:t>
      </w:r>
      <w:r w:rsidR="0069799C">
        <w:t>e</w:t>
      </w:r>
      <w:r w:rsidR="004A79F3">
        <w:t xml:space="preserve"> en </w:t>
      </w:r>
      <w:r w:rsidRPr="005F13B9">
        <w:t>hausse de 10 % par rapport au premier semestre 2014.</w:t>
      </w:r>
    </w:p>
    <w:p w:rsidR="00CF126E" w:rsidRPr="00FD1FEC" w:rsidRDefault="00CF126E" w:rsidP="00CF126E">
      <w:pPr>
        <w:pStyle w:val="2-TEXTECOURANTcommuniqu"/>
        <w:rPr>
          <w:color w:val="FF0000"/>
        </w:rPr>
      </w:pPr>
    </w:p>
    <w:p w:rsidR="00CF126E" w:rsidRDefault="00CF126E" w:rsidP="00CF126E">
      <w:pPr>
        <w:pStyle w:val="3-Titre3"/>
      </w:pPr>
      <w:r>
        <w:t xml:space="preserve"> </w:t>
      </w:r>
      <w:r w:rsidR="00822B8C">
        <w:t>A</w:t>
      </w:r>
      <w:r>
        <w:t>ssurance</w:t>
      </w:r>
    </w:p>
    <w:p w:rsidR="00CF126E" w:rsidRDefault="00CF126E" w:rsidP="00CF126E">
      <w:pPr>
        <w:pStyle w:val="2-TEXTECOURANTcommuniqu"/>
      </w:pPr>
    </w:p>
    <w:p w:rsidR="00CF126E" w:rsidRPr="008659C6" w:rsidRDefault="00CF126E" w:rsidP="00CF126E">
      <w:pPr>
        <w:pStyle w:val="2-TEXTECOURANTcommuniqu"/>
      </w:pPr>
      <w:r w:rsidRPr="008659C6">
        <w:t xml:space="preserve">Le portefeuille de contrats en assurances dommages, prévoyance et santé poursuit sa croissance, avec une hausse de 7,6 % de l’assurance dommages et de </w:t>
      </w:r>
      <w:r w:rsidR="002738A4">
        <w:t xml:space="preserve">4,9 % de l’assurance prévoyance et </w:t>
      </w:r>
      <w:r w:rsidRPr="008659C6">
        <w:t xml:space="preserve">santé par rapport au </w:t>
      </w:r>
      <w:r w:rsidR="007A053D">
        <w:t>30 juin</w:t>
      </w:r>
      <w:r w:rsidRPr="008659C6">
        <w:t xml:space="preserve"> 2014.</w:t>
      </w:r>
    </w:p>
    <w:p w:rsidR="00CF126E" w:rsidRPr="00FD1FEC" w:rsidRDefault="00CF126E" w:rsidP="00CF126E">
      <w:pPr>
        <w:pStyle w:val="2-TEXTECOURANTcommuniqu"/>
        <w:rPr>
          <w:color w:val="FF0000"/>
        </w:rPr>
      </w:pPr>
    </w:p>
    <w:p w:rsidR="00CF126E" w:rsidRDefault="00CF126E" w:rsidP="00CF126E">
      <w:pPr>
        <w:pStyle w:val="3-Titre3"/>
      </w:pPr>
      <w:r>
        <w:t>Résultats financiers</w:t>
      </w:r>
      <w:r w:rsidRPr="00D857C0">
        <w:rPr>
          <w:color w:val="FF0000"/>
        </w:rPr>
        <w:t xml:space="preserve"> </w:t>
      </w:r>
    </w:p>
    <w:p w:rsidR="00CF126E" w:rsidRDefault="00CF126E" w:rsidP="00CF126E">
      <w:pPr>
        <w:pStyle w:val="2-TEXTECOURANTcommuniqu"/>
      </w:pPr>
    </w:p>
    <w:p w:rsidR="00CF126E" w:rsidRPr="00501B55" w:rsidRDefault="00CF126E" w:rsidP="00CF126E">
      <w:pPr>
        <w:pStyle w:val="2-TEXTECOURANTcommuniqu"/>
        <w:rPr>
          <w:color w:val="FF0000"/>
        </w:rPr>
      </w:pPr>
      <w:r w:rsidRPr="008659C6">
        <w:t xml:space="preserve">Le </w:t>
      </w:r>
      <w:r w:rsidRPr="008659C6">
        <w:rPr>
          <w:b/>
        </w:rPr>
        <w:t>produit net bancaire</w:t>
      </w:r>
      <w:r w:rsidRPr="008659C6">
        <w:t xml:space="preserve"> du deuxième trimestre 2015 s’établit à 1 652 millions d’euros (hors variation de la provision épargne logement), en hausse de 2,6 % par rapport au deuxième trimestre 2014. Cette évolution </w:t>
      </w:r>
      <w:r w:rsidR="009F278B">
        <w:t>provient</w:t>
      </w:r>
      <w:r w:rsidR="009F278B" w:rsidRPr="008659C6">
        <w:t xml:space="preserve"> </w:t>
      </w:r>
      <w:r w:rsidRPr="008659C6">
        <w:t xml:space="preserve">d’une diminution de 1,7 % de la marge nette d’intérêt clientèle (hors variation de la provision épargne logement) et d’une progression de 5,3 % des commissions. </w:t>
      </w:r>
      <w:r w:rsidRPr="00440BC0">
        <w:t xml:space="preserve">Le </w:t>
      </w:r>
      <w:r w:rsidRPr="00B455DF">
        <w:t>produit net bancaire</w:t>
      </w:r>
      <w:r w:rsidRPr="00440BC0">
        <w:t xml:space="preserve"> du premier semestre 2015 s’établit à 3 312 millions d’euros</w:t>
      </w:r>
      <w:r w:rsidR="00501B55">
        <w:t xml:space="preserve"> </w:t>
      </w:r>
      <w:r w:rsidR="00501B55" w:rsidRPr="008659C6">
        <w:t>(hors variation de la provision épargne logement)</w:t>
      </w:r>
      <w:r w:rsidRPr="00440BC0">
        <w:t>, soit une progression de 3,1 % par rapport au premier semestre 2014</w:t>
      </w:r>
      <w:r>
        <w:t>.</w:t>
      </w:r>
    </w:p>
    <w:p w:rsidR="00B455DF" w:rsidRDefault="00B455DF" w:rsidP="00CF126E">
      <w:pPr>
        <w:pStyle w:val="2-TEXTECOURANTcommuniqu"/>
      </w:pPr>
    </w:p>
    <w:p w:rsidR="00CF126E" w:rsidRPr="00440BC0" w:rsidRDefault="00CF126E" w:rsidP="00CF126E">
      <w:pPr>
        <w:pStyle w:val="2-TEXTECOURANTcommuniqu"/>
      </w:pPr>
      <w:r w:rsidRPr="008659C6">
        <w:t xml:space="preserve">Les </w:t>
      </w:r>
      <w:r w:rsidRPr="008659C6">
        <w:rPr>
          <w:b/>
        </w:rPr>
        <w:t>frais de gestion</w:t>
      </w:r>
      <w:r w:rsidRPr="008659C6">
        <w:t xml:space="preserve">, à 1 052 millions d’euros, augmentent de 1,4 % </w:t>
      </w:r>
      <w:r>
        <w:t>entre le</w:t>
      </w:r>
      <w:r w:rsidR="00092942">
        <w:t xml:space="preserve"> deuxième trimestre 2014</w:t>
      </w:r>
      <w:r w:rsidRPr="008659C6">
        <w:t xml:space="preserve"> </w:t>
      </w:r>
      <w:r>
        <w:t>et le</w:t>
      </w:r>
      <w:r w:rsidR="00092942">
        <w:t xml:space="preserve"> deuxième trimestre 2015</w:t>
      </w:r>
      <w:r w:rsidRPr="008659C6">
        <w:t xml:space="preserve">. </w:t>
      </w:r>
      <w:r>
        <w:t xml:space="preserve">Sur le semestre, ils s’établissent à 2 157 millions d’euros, </w:t>
      </w:r>
      <w:r w:rsidR="005C58D8">
        <w:t>quasi stable</w:t>
      </w:r>
      <w:r w:rsidR="009F0686">
        <w:t>s</w:t>
      </w:r>
      <w:r>
        <w:t xml:space="preserve"> </w:t>
      </w:r>
      <w:r w:rsidR="005C58D8">
        <w:t xml:space="preserve">(+ </w:t>
      </w:r>
      <w:r>
        <w:t>0,5</w:t>
      </w:r>
      <w:r w:rsidR="005C58D8">
        <w:t> </w:t>
      </w:r>
      <w:r>
        <w:t>%</w:t>
      </w:r>
      <w:r w:rsidR="005C58D8">
        <w:t>)</w:t>
      </w:r>
      <w:r>
        <w:t xml:space="preserve"> par rapport au premier semestre 2014.</w:t>
      </w:r>
    </w:p>
    <w:p w:rsidR="00CF126E" w:rsidRPr="00FD1FEC" w:rsidRDefault="00CF126E" w:rsidP="00CF126E">
      <w:pPr>
        <w:pStyle w:val="2-TEXTECOURANTcommuniqu"/>
        <w:rPr>
          <w:color w:val="FF0000"/>
        </w:rPr>
      </w:pPr>
    </w:p>
    <w:p w:rsidR="00CF126E" w:rsidRPr="003A7B66" w:rsidRDefault="00CF126E" w:rsidP="00CF126E">
      <w:pPr>
        <w:pStyle w:val="2-TEXTECOURANTcommuniqu"/>
      </w:pPr>
      <w:r w:rsidRPr="003A7B66">
        <w:t xml:space="preserve">Le </w:t>
      </w:r>
      <w:r w:rsidRPr="003A7B66">
        <w:rPr>
          <w:b/>
        </w:rPr>
        <w:t>résultat brut d’exploitation</w:t>
      </w:r>
      <w:r w:rsidRPr="003A7B66">
        <w:t xml:space="preserve"> </w:t>
      </w:r>
      <w:r w:rsidR="004A79F3">
        <w:t xml:space="preserve">s’établit </w:t>
      </w:r>
      <w:r w:rsidRPr="003A7B66">
        <w:t>à 594 millions d’euros</w:t>
      </w:r>
      <w:r>
        <w:t xml:space="preserve"> au deuxième trimestre</w:t>
      </w:r>
      <w:r w:rsidRPr="003A7B66">
        <w:t xml:space="preserve">, en hausse de 4,2 % </w:t>
      </w:r>
      <w:r>
        <w:t>par rapport au deuxième trimestre 2014.</w:t>
      </w:r>
      <w:r w:rsidR="002D404C">
        <w:t xml:space="preserve"> </w:t>
      </w:r>
      <w:r>
        <w:t xml:space="preserve">Il s’élève à 1 144 </w:t>
      </w:r>
      <w:r w:rsidRPr="003A7B66">
        <w:t>millions d’euros</w:t>
      </w:r>
      <w:r>
        <w:t xml:space="preserve"> au premier semestre 2015, en augmentation de 7,5 % comparé au premier semestre 2014.</w:t>
      </w:r>
    </w:p>
    <w:p w:rsidR="00CF126E" w:rsidRPr="002B3D74" w:rsidRDefault="00CF126E" w:rsidP="00CF126E">
      <w:pPr>
        <w:pStyle w:val="2-TEXTECOURANTcommuniqu"/>
        <w:rPr>
          <w:color w:val="FF0000"/>
        </w:rPr>
      </w:pPr>
    </w:p>
    <w:p w:rsidR="00CF126E" w:rsidRPr="00421194" w:rsidRDefault="00CF126E" w:rsidP="00CF126E">
      <w:pPr>
        <w:pStyle w:val="2-TEXTECOURANTcommuniqu"/>
      </w:pPr>
      <w:r w:rsidRPr="003A7B66">
        <w:t xml:space="preserve">Le </w:t>
      </w:r>
      <w:r w:rsidRPr="003A7B66">
        <w:rPr>
          <w:b/>
        </w:rPr>
        <w:t>coût du risque</w:t>
      </w:r>
      <w:r w:rsidRPr="003A7B66">
        <w:t xml:space="preserve">, à 164 millions d’euros, est en baisse de 8,7 % comparé au deuxième trimestre 2014 en raison d’une baisse des provisions individuelles. </w:t>
      </w:r>
      <w:r w:rsidR="00555932" w:rsidRPr="00076A45">
        <w:t>À</w:t>
      </w:r>
      <w:r w:rsidR="00B07B72">
        <w:t xml:space="preserve"> </w:t>
      </w:r>
      <w:r w:rsidRPr="00421194">
        <w:t xml:space="preserve">337 millions d’euros sur le premier semestre 2015, </w:t>
      </w:r>
      <w:r w:rsidR="004A79F3">
        <w:t>il</w:t>
      </w:r>
      <w:r w:rsidRPr="00421194">
        <w:t xml:space="preserve"> diminue de 0,3 % par rapport </w:t>
      </w:r>
      <w:r w:rsidR="00F217F6">
        <w:t>au premier semestre 2014</w:t>
      </w:r>
      <w:r w:rsidRPr="00421194">
        <w:t>.</w:t>
      </w:r>
    </w:p>
    <w:p w:rsidR="00CF126E" w:rsidRPr="00FD1FEC" w:rsidRDefault="00CF126E" w:rsidP="00CF126E">
      <w:pPr>
        <w:pStyle w:val="2-TEXTECOURANTcommuniqu"/>
        <w:rPr>
          <w:color w:val="FF0000"/>
        </w:rPr>
      </w:pPr>
    </w:p>
    <w:p w:rsidR="00CF126E" w:rsidRPr="00320FDF" w:rsidRDefault="00CF126E" w:rsidP="00CF126E">
      <w:pPr>
        <w:pStyle w:val="2-TEXTECOURANTcommuniqu"/>
      </w:pPr>
      <w:r w:rsidRPr="00320FDF">
        <w:rPr>
          <w:b/>
        </w:rPr>
        <w:t>Le résultat avant impôt</w:t>
      </w:r>
      <w:r>
        <w:t xml:space="preserve"> </w:t>
      </w:r>
      <w:r w:rsidR="004A79F3">
        <w:t>progresse</w:t>
      </w:r>
      <w:r>
        <w:t xml:space="preserve"> de 9,9</w:t>
      </w:r>
      <w:r w:rsidRPr="00320FDF">
        <w:t xml:space="preserve"> % </w:t>
      </w:r>
      <w:r w:rsidR="009C54B3">
        <w:t xml:space="preserve">sur un an </w:t>
      </w:r>
      <w:r w:rsidRPr="00320FDF">
        <w:t xml:space="preserve">et s’élève à </w:t>
      </w:r>
      <w:r>
        <w:t>440</w:t>
      </w:r>
      <w:r w:rsidRPr="00320FDF">
        <w:t xml:space="preserve"> millions d’euros</w:t>
      </w:r>
      <w:r>
        <w:t xml:space="preserve"> au deuxième trimestre 2015</w:t>
      </w:r>
      <w:r w:rsidRPr="00320FDF">
        <w:t>.</w:t>
      </w:r>
      <w:r>
        <w:t xml:space="preserve"> Il ressort à 829 millions d’euros sur le premier semestre</w:t>
      </w:r>
      <w:r w:rsidR="00137DF2">
        <w:t xml:space="preserve"> 2015</w:t>
      </w:r>
      <w:r>
        <w:t>, soit un</w:t>
      </w:r>
      <w:r w:rsidR="00A41634">
        <w:t>e</w:t>
      </w:r>
      <w:r>
        <w:t xml:space="preserve"> hausse de 11,2 %</w:t>
      </w:r>
      <w:r w:rsidR="0072508B">
        <w:t xml:space="preserve"> par rapport au premier semestre 2014</w:t>
      </w:r>
      <w:r>
        <w:t>.</w:t>
      </w:r>
    </w:p>
    <w:p w:rsidR="00CF126E" w:rsidRPr="00FD1FEC" w:rsidRDefault="00CF126E" w:rsidP="00CF126E">
      <w:pPr>
        <w:pStyle w:val="2-TEXTECOURANTcommuniqu"/>
        <w:rPr>
          <w:color w:val="FF0000"/>
        </w:rPr>
      </w:pPr>
    </w:p>
    <w:p w:rsidR="00CF126E" w:rsidRDefault="00CF126E" w:rsidP="00CF126E">
      <w:pPr>
        <w:pStyle w:val="2-TEXTECOURANTcommuniqu"/>
      </w:pPr>
      <w:r w:rsidRPr="005D3EB9">
        <w:rPr>
          <w:b/>
        </w:rPr>
        <w:t>En retraitant l’impact de l’IFRIC 21,</w:t>
      </w:r>
      <w:r w:rsidRPr="00320FDF">
        <w:t xml:space="preserve"> </w:t>
      </w:r>
      <w:r w:rsidRPr="00320FDF">
        <w:rPr>
          <w:b/>
        </w:rPr>
        <w:t xml:space="preserve">le résultat avant impôt </w:t>
      </w:r>
      <w:r w:rsidRPr="00320FDF">
        <w:t>s’élève à 4</w:t>
      </w:r>
      <w:r>
        <w:t>23</w:t>
      </w:r>
      <w:r w:rsidRPr="00320FDF">
        <w:t xml:space="preserve"> millions d’euros</w:t>
      </w:r>
      <w:r>
        <w:t xml:space="preserve"> au deuxième trimestre 2015</w:t>
      </w:r>
      <w:r w:rsidRPr="00320FDF">
        <w:t xml:space="preserve">, soit une hausse de 11,3 % sur un an. Le </w:t>
      </w:r>
      <w:r w:rsidRPr="00320FDF">
        <w:rPr>
          <w:b/>
        </w:rPr>
        <w:t>coefficient d’exploitation</w:t>
      </w:r>
      <w:r>
        <w:t xml:space="preserve"> diminue de 0,8 point, à 64</w:t>
      </w:r>
      <w:r w:rsidRPr="00320FDF">
        <w:t>,</w:t>
      </w:r>
      <w:r>
        <w:t>9</w:t>
      </w:r>
      <w:r w:rsidRPr="00320FDF">
        <w:t xml:space="preserve"> %.</w:t>
      </w:r>
      <w:r>
        <w:t xml:space="preserve"> Au premier semestre, le résultat avant impôt s’établit à 863</w:t>
      </w:r>
      <w:r w:rsidR="000B0254">
        <w:t> </w:t>
      </w:r>
      <w:r>
        <w:t xml:space="preserve">millions d’euros, soit une augmentation de 9,7 % par rapport au premier semestre 2014. Sur cette </w:t>
      </w:r>
      <w:r w:rsidRPr="00826D97">
        <w:t>période, le coefficient d’exploitation</w:t>
      </w:r>
      <w:r>
        <w:t xml:space="preserve"> </w:t>
      </w:r>
      <w:r w:rsidR="009C54B3">
        <w:t>s’améliore</w:t>
      </w:r>
      <w:r>
        <w:t xml:space="preserve"> de 1,3 point, à 64</w:t>
      </w:r>
      <w:r w:rsidRPr="00320FDF">
        <w:t>,</w:t>
      </w:r>
      <w:r>
        <w:t>3</w:t>
      </w:r>
      <w:r w:rsidRPr="00320FDF">
        <w:t xml:space="preserve"> %.</w:t>
      </w:r>
    </w:p>
    <w:p w:rsidR="00D16A83" w:rsidRDefault="00D16A83">
      <w:pPr>
        <w:jc w:val="left"/>
        <w:rPr>
          <w:rStyle w:val="orange"/>
          <w:b/>
          <w:spacing w:val="-4"/>
          <w:sz w:val="20"/>
          <w:szCs w:val="20"/>
        </w:rPr>
      </w:pPr>
      <w:r>
        <w:rPr>
          <w:rStyle w:val="orange"/>
        </w:rPr>
        <w:br w:type="page"/>
      </w:r>
    </w:p>
    <w:p w:rsidR="006627D0" w:rsidRDefault="006627D0" w:rsidP="006627D0">
      <w:pPr>
        <w:pStyle w:val="3-Titre2"/>
      </w:pPr>
      <w:r>
        <w:rPr>
          <w:rStyle w:val="orange"/>
        </w:rPr>
        <w:lastRenderedPageBreak/>
        <w:t>3</w:t>
      </w:r>
      <w:r w:rsidRPr="008E2B05">
        <w:rPr>
          <w:rStyle w:val="orange"/>
        </w:rPr>
        <w:t>.1.2</w:t>
      </w:r>
      <w:r>
        <w:t xml:space="preserve"> Caisse d’Epargne : des performances commerciales portées par une forte conquête</w:t>
      </w:r>
    </w:p>
    <w:p w:rsidR="006627D0" w:rsidRPr="00B107F6" w:rsidRDefault="006627D0" w:rsidP="006627D0">
      <w:pPr>
        <w:pStyle w:val="intro"/>
      </w:pPr>
      <w:r w:rsidRPr="00B107F6">
        <w:t>Le réseau Caisse d’Epargne regroupe les 17 Caisses d’Epargne ainsi que leurs filiales.</w:t>
      </w:r>
    </w:p>
    <w:p w:rsidR="006627D0" w:rsidRPr="002B3D74" w:rsidRDefault="006627D0" w:rsidP="006627D0">
      <w:pPr>
        <w:pStyle w:val="2-TEXTECOURANTcommuniqu"/>
        <w:rPr>
          <w:color w:val="FF0000"/>
        </w:rPr>
      </w:pPr>
    </w:p>
    <w:p w:rsidR="006627D0" w:rsidRPr="007E7821" w:rsidRDefault="006627D0" w:rsidP="006627D0">
      <w:pPr>
        <w:pStyle w:val="3-Titre3"/>
      </w:pPr>
      <w:r w:rsidRPr="007E7821">
        <w:t>Fonds de commerce</w:t>
      </w:r>
    </w:p>
    <w:p w:rsidR="006627D0" w:rsidRPr="002B3D74" w:rsidRDefault="006627D0" w:rsidP="006627D0">
      <w:pPr>
        <w:pStyle w:val="2-TEXTECOURANTcommuniqu"/>
        <w:rPr>
          <w:color w:val="FF0000"/>
        </w:rPr>
      </w:pPr>
    </w:p>
    <w:p w:rsidR="006627D0" w:rsidRPr="002B11E0" w:rsidRDefault="006627D0" w:rsidP="006627D0">
      <w:pPr>
        <w:pStyle w:val="2-TEXTECOURANTcommuniqu"/>
      </w:pPr>
      <w:r w:rsidRPr="00CF1341">
        <w:t xml:space="preserve">La stratégie de bancarisation des clients particuliers du réseau Caisse d’Epargne s’est poursuivie au deuxième trimestre 2015 et s’est traduite par une croissance </w:t>
      </w:r>
      <w:r w:rsidRPr="002B11E0">
        <w:t>de 2,0 % d</w:t>
      </w:r>
      <w:r w:rsidR="00822B8C">
        <w:t xml:space="preserve">u </w:t>
      </w:r>
      <w:r w:rsidR="00015E43">
        <w:t>nombre de</w:t>
      </w:r>
      <w:r w:rsidRPr="002B11E0">
        <w:t xml:space="preserve"> </w:t>
      </w:r>
      <w:r w:rsidR="00822B8C">
        <w:t xml:space="preserve">ses </w:t>
      </w:r>
      <w:r w:rsidRPr="002B11E0">
        <w:t>clients bancarisés principaux. Sur les marchés des professionnels et des entreprises, la stratégie de conquête a permis une hausse de 3,3 % d</w:t>
      </w:r>
      <w:r w:rsidR="00015E43">
        <w:t>u nombre d</w:t>
      </w:r>
      <w:r w:rsidRPr="002B11E0">
        <w:t>e clien</w:t>
      </w:r>
      <w:r w:rsidR="00071054">
        <w:t>ts actifs professionnels et de 7,9</w:t>
      </w:r>
      <w:r w:rsidRPr="002B11E0">
        <w:t xml:space="preserve"> % d</w:t>
      </w:r>
      <w:r w:rsidR="00015E43">
        <w:t>u nombre de</w:t>
      </w:r>
      <w:r w:rsidRPr="002B11E0">
        <w:t xml:space="preserve"> clients actifs entreprises. </w:t>
      </w:r>
    </w:p>
    <w:p w:rsidR="006627D0" w:rsidRPr="00FD1FEC" w:rsidRDefault="006627D0" w:rsidP="006627D0">
      <w:pPr>
        <w:pStyle w:val="2-TEXTECOURANTcommuniqu"/>
        <w:rPr>
          <w:color w:val="FF0000"/>
        </w:rPr>
      </w:pPr>
    </w:p>
    <w:p w:rsidR="006627D0" w:rsidRPr="007E7821" w:rsidRDefault="006627D0" w:rsidP="006627D0">
      <w:pPr>
        <w:pStyle w:val="3-Titre3"/>
      </w:pPr>
      <w:r w:rsidRPr="007E7821">
        <w:t xml:space="preserve">Encours d’épargne </w:t>
      </w:r>
    </w:p>
    <w:p w:rsidR="006627D0" w:rsidRPr="00FC5F48" w:rsidRDefault="006627D0" w:rsidP="006627D0">
      <w:pPr>
        <w:pStyle w:val="2-TEXTECOURANTcommuniqu"/>
      </w:pPr>
    </w:p>
    <w:p w:rsidR="006627D0" w:rsidRPr="00FC5F48" w:rsidRDefault="006627D0" w:rsidP="006627D0">
      <w:pPr>
        <w:pStyle w:val="2-TEXTECOURANTcommuniqu"/>
      </w:pPr>
      <w:r w:rsidRPr="00FC5F48">
        <w:t xml:space="preserve">Les encours d’épargne ont enregistré </w:t>
      </w:r>
      <w:r w:rsidRPr="008F4B0E">
        <w:t xml:space="preserve">une hausse de 13 milliards d’euros </w:t>
      </w:r>
      <w:r w:rsidR="004859B9">
        <w:t>sur</w:t>
      </w:r>
      <w:r w:rsidRPr="008F4B0E">
        <w:t xml:space="preserve"> un an par rapport au 30 juin 2014, s’établissant à 390 milliards d’euros </w:t>
      </w:r>
      <w:r w:rsidRPr="00FC5F48">
        <w:t xml:space="preserve">au 30 juin 2015. </w:t>
      </w:r>
    </w:p>
    <w:p w:rsidR="006627D0" w:rsidRPr="00FC5F48" w:rsidRDefault="006627D0" w:rsidP="006627D0">
      <w:pPr>
        <w:pStyle w:val="2-TEXTECOURANTcommuniqu"/>
      </w:pPr>
    </w:p>
    <w:p w:rsidR="006627D0" w:rsidRPr="00FC5F48" w:rsidRDefault="006627D0" w:rsidP="006627D0">
      <w:pPr>
        <w:pStyle w:val="2-TEXTECOURANTcommuniqu"/>
      </w:pPr>
      <w:r w:rsidRPr="00FC5F48">
        <w:t xml:space="preserve">Hors centralisation, les encours d’épargne de bilan </w:t>
      </w:r>
      <w:r w:rsidRPr="0016791E">
        <w:t>s’élèvent à 203 milliards d’euros, en hausse de 1</w:t>
      </w:r>
      <w:r>
        <w:t>6</w:t>
      </w:r>
      <w:r w:rsidRPr="0016791E">
        <w:t xml:space="preserve"> milliards d’euros par rapport au 30 juin 2014, soit une croissance de 8,4 %. Les dépôts à vue ont progressé de 15,6 %, les </w:t>
      </w:r>
      <w:r>
        <w:t>comptes</w:t>
      </w:r>
      <w:r w:rsidR="00071054">
        <w:t xml:space="preserve"> à terme</w:t>
      </w:r>
      <w:r w:rsidRPr="0016791E">
        <w:t xml:space="preserve"> de 18,2 % et l’épargne </w:t>
      </w:r>
      <w:r w:rsidR="00071054">
        <w:t>logement</w:t>
      </w:r>
      <w:r w:rsidRPr="00FC5F48">
        <w:t xml:space="preserve"> de 11,5 %.</w:t>
      </w:r>
    </w:p>
    <w:p w:rsidR="006627D0" w:rsidRPr="004D38B4" w:rsidRDefault="006627D0" w:rsidP="006627D0">
      <w:pPr>
        <w:pStyle w:val="2-TEXTECOURANTcommuniqu"/>
      </w:pPr>
    </w:p>
    <w:p w:rsidR="006627D0" w:rsidRPr="004D38B4" w:rsidRDefault="006627D0" w:rsidP="006627D0">
      <w:pPr>
        <w:pStyle w:val="2-TEXTECOURANTcommuniqu"/>
      </w:pPr>
      <w:r w:rsidRPr="004D38B4">
        <w:t>Les encours d’épargne financière s’établissent à 124 milliards d’euros au 30 juin 2015, portés par la croissance de l’assurance vie avec une hausse des encours de 4,3 %.</w:t>
      </w:r>
    </w:p>
    <w:p w:rsidR="006627D0" w:rsidRPr="00FD1FEC" w:rsidRDefault="006627D0" w:rsidP="006627D0">
      <w:pPr>
        <w:pStyle w:val="2-TEXTECOURANTcommuniqu"/>
        <w:rPr>
          <w:color w:val="FF0000"/>
        </w:rPr>
      </w:pPr>
    </w:p>
    <w:p w:rsidR="006627D0" w:rsidRPr="007E7821" w:rsidRDefault="006627D0" w:rsidP="006627D0">
      <w:pPr>
        <w:pStyle w:val="3-Titre3"/>
      </w:pPr>
      <w:r w:rsidRPr="007E7821">
        <w:t>Encours d</w:t>
      </w:r>
      <w:r>
        <w:t>e crédit</w:t>
      </w:r>
      <w:r w:rsidRPr="007E7821">
        <w:t xml:space="preserve"> </w:t>
      </w:r>
    </w:p>
    <w:p w:rsidR="006627D0" w:rsidRPr="006A35A6" w:rsidRDefault="006627D0" w:rsidP="006627D0">
      <w:pPr>
        <w:pStyle w:val="2-TEXTECOURANTcommuniqu"/>
      </w:pPr>
    </w:p>
    <w:p w:rsidR="006627D0" w:rsidRPr="006A35A6" w:rsidRDefault="006627D0" w:rsidP="006627D0">
      <w:pPr>
        <w:pStyle w:val="2-TEXTECOURANTcommuniqu"/>
      </w:pPr>
      <w:r w:rsidRPr="006A35A6">
        <w:t xml:space="preserve">Les encours de crédit </w:t>
      </w:r>
      <w:r w:rsidRPr="008E6F39">
        <w:t>s’établissent à 215 milliards d’euros à fin juin 2015, en hausse de 4,4 % par rapport à fin juin 2014, bénéficiant notamment de la dynamique des crédits immobiliers (+ 4,9 %). Les crédits à la consommation ont connu au premier semestre 2015 une hausse de l</w:t>
      </w:r>
      <w:r w:rsidR="00CC4012">
        <w:t>eur</w:t>
      </w:r>
      <w:r w:rsidRPr="008E6F39">
        <w:t xml:space="preserve"> production de 14 % par rapport </w:t>
      </w:r>
      <w:r w:rsidRPr="006A35A6">
        <w:t>au premier semestre 2014</w:t>
      </w:r>
      <w:r>
        <w:t>. La reprise d</w:t>
      </w:r>
      <w:r w:rsidRPr="006A35A6">
        <w:t xml:space="preserve">es crédits d’équipement </w:t>
      </w:r>
      <w:r>
        <w:t xml:space="preserve">se confirme avec </w:t>
      </w:r>
      <w:r w:rsidRPr="006A35A6">
        <w:t xml:space="preserve">une production en hausse </w:t>
      </w:r>
      <w:r w:rsidR="00697C38">
        <w:t>de 21 % au premier semestre 2015.</w:t>
      </w:r>
    </w:p>
    <w:p w:rsidR="006627D0" w:rsidRDefault="006627D0" w:rsidP="006627D0">
      <w:pPr>
        <w:pStyle w:val="2-TEXTECOURANTcommuniqu"/>
      </w:pPr>
    </w:p>
    <w:p w:rsidR="006627D0" w:rsidRDefault="00F41332" w:rsidP="006627D0">
      <w:pPr>
        <w:pStyle w:val="3-Titre3"/>
      </w:pPr>
      <w:r>
        <w:t>Assurance</w:t>
      </w:r>
    </w:p>
    <w:p w:rsidR="006627D0" w:rsidRDefault="006627D0" w:rsidP="006627D0">
      <w:pPr>
        <w:pStyle w:val="2-TEXTECOURANTcommuniqu"/>
      </w:pPr>
    </w:p>
    <w:p w:rsidR="006627D0" w:rsidRPr="0000413E" w:rsidRDefault="00165C78" w:rsidP="006627D0">
      <w:pPr>
        <w:pStyle w:val="2-TEXTECOURANTcommuniqu"/>
      </w:pPr>
      <w:r>
        <w:t>Porté par la hausse de l’activité, l</w:t>
      </w:r>
      <w:r w:rsidR="006627D0" w:rsidRPr="004E6D09">
        <w:t>e portefeuille des contrats en assurances dommages progress</w:t>
      </w:r>
      <w:r>
        <w:t xml:space="preserve">e de 11,3 % sur un an glissant. Au premier semestre, les ventes nettes ont bondi de </w:t>
      </w:r>
      <w:r w:rsidR="006627D0" w:rsidRPr="004E6D09">
        <w:t xml:space="preserve">63 % par rapport au premier semestre 2014. Le portefeuille des contrats en assurances prévoyance et santé conserve un rythme de croissance </w:t>
      </w:r>
      <w:r w:rsidR="006627D0" w:rsidRPr="006A6E64">
        <w:t xml:space="preserve">soutenue, avec une hausse de 12,0 % sur un an glissant. </w:t>
      </w:r>
    </w:p>
    <w:p w:rsidR="006627D0" w:rsidRDefault="006627D0" w:rsidP="006627D0">
      <w:pPr>
        <w:jc w:val="left"/>
        <w:rPr>
          <w:b/>
          <w:spacing w:val="-4"/>
          <w:sz w:val="20"/>
          <w:szCs w:val="20"/>
        </w:rPr>
      </w:pPr>
    </w:p>
    <w:p w:rsidR="006627D0" w:rsidRDefault="006627D0" w:rsidP="006627D0">
      <w:pPr>
        <w:pStyle w:val="3-Titre3"/>
      </w:pPr>
      <w:r>
        <w:t>Résultats financiers</w:t>
      </w:r>
    </w:p>
    <w:p w:rsidR="006627D0" w:rsidRPr="00061C2B" w:rsidRDefault="006627D0" w:rsidP="006627D0">
      <w:pPr>
        <w:pStyle w:val="2-TEXTECOURANTcommuniqu"/>
      </w:pPr>
    </w:p>
    <w:p w:rsidR="006627D0" w:rsidRPr="00440BC0" w:rsidRDefault="006627D0" w:rsidP="006627D0">
      <w:pPr>
        <w:pStyle w:val="2-TEXTECOURANTcommuniqu"/>
      </w:pPr>
      <w:r w:rsidRPr="008659C6">
        <w:t xml:space="preserve">Le </w:t>
      </w:r>
      <w:r w:rsidRPr="008659C6">
        <w:rPr>
          <w:b/>
        </w:rPr>
        <w:t>produit net bancaire</w:t>
      </w:r>
      <w:r w:rsidRPr="008659C6">
        <w:t xml:space="preserve"> du deuxième </w:t>
      </w:r>
      <w:r>
        <w:t>trimestre 2015 s’établit à 1 806</w:t>
      </w:r>
      <w:r w:rsidRPr="008659C6">
        <w:t xml:space="preserve"> millions d’euros (hors variation de la provision épargne loge</w:t>
      </w:r>
      <w:r>
        <w:t>ment), en hausse de 4</w:t>
      </w:r>
      <w:r w:rsidR="00B67A29">
        <w:t>,6 </w:t>
      </w:r>
      <w:r w:rsidRPr="008659C6">
        <w:t>% par rapport au deuxième trimestre 2014. Cette évolution procède d’une diminution de 1,</w:t>
      </w:r>
      <w:r>
        <w:t>4</w:t>
      </w:r>
      <w:r w:rsidRPr="008659C6">
        <w:t xml:space="preserve"> % de la marge nette d’intérêt clientèle (hors variation de la provision épargne logement) et d’une </w:t>
      </w:r>
      <w:r>
        <w:t>hausse de 8</w:t>
      </w:r>
      <w:r w:rsidRPr="008659C6">
        <w:t>,</w:t>
      </w:r>
      <w:r>
        <w:t>5</w:t>
      </w:r>
      <w:r w:rsidRPr="008659C6">
        <w:t xml:space="preserve"> % des commissions. </w:t>
      </w:r>
      <w:r w:rsidRPr="00440BC0">
        <w:t xml:space="preserve">Le </w:t>
      </w:r>
      <w:r w:rsidRPr="00440BC0">
        <w:rPr>
          <w:b/>
        </w:rPr>
        <w:t>produit net bancaire</w:t>
      </w:r>
      <w:r w:rsidRPr="00440BC0">
        <w:t xml:space="preserve"> du premier semestre 2015 s’établit </w:t>
      </w:r>
      <w:r>
        <w:t>à 3 679</w:t>
      </w:r>
      <w:r w:rsidRPr="00440BC0">
        <w:t xml:space="preserve"> millions d’euros</w:t>
      </w:r>
      <w:r w:rsidR="00CA3160">
        <w:t xml:space="preserve"> </w:t>
      </w:r>
      <w:r w:rsidR="00CA3160" w:rsidRPr="008659C6">
        <w:t>(hors variation de la provision épargne logement)</w:t>
      </w:r>
      <w:r w:rsidR="00CA3160" w:rsidRPr="00440BC0">
        <w:t>,</w:t>
      </w:r>
      <w:r w:rsidRPr="00440BC0">
        <w:t xml:space="preserve"> soit une progression de </w:t>
      </w:r>
      <w:r>
        <w:t>4,2</w:t>
      </w:r>
      <w:r w:rsidRPr="00440BC0">
        <w:t> % par rapport au premier semestre 2014</w:t>
      </w:r>
      <w:r>
        <w:t>.</w:t>
      </w:r>
    </w:p>
    <w:p w:rsidR="006627D0" w:rsidRDefault="006627D0" w:rsidP="006627D0">
      <w:pPr>
        <w:pStyle w:val="2-TEXTECOURANTcommuniqu"/>
      </w:pPr>
    </w:p>
    <w:p w:rsidR="006627D0" w:rsidRPr="00440BC0" w:rsidRDefault="006627D0" w:rsidP="006627D0">
      <w:pPr>
        <w:pStyle w:val="2-TEXTECOURANTcommuniqu"/>
      </w:pPr>
      <w:r w:rsidRPr="008659C6">
        <w:t xml:space="preserve">Les </w:t>
      </w:r>
      <w:r w:rsidRPr="008659C6">
        <w:rPr>
          <w:b/>
        </w:rPr>
        <w:t>frais de gestion</w:t>
      </w:r>
      <w:r>
        <w:t xml:space="preserve"> s’établissent à 1 144 millions d’euros au </w:t>
      </w:r>
      <w:r w:rsidRPr="003A7B66">
        <w:t>deuxième trimestre 201</w:t>
      </w:r>
      <w:r w:rsidR="00F51869">
        <w:t>5, ce qui les porte à 2 361</w:t>
      </w:r>
      <w:r>
        <w:t xml:space="preserve"> millions d’euros pour le premier semestre 2015</w:t>
      </w:r>
      <w:r w:rsidR="00CF741D">
        <w:t xml:space="preserve">, stables </w:t>
      </w:r>
      <w:r w:rsidR="000A28DC">
        <w:t>sur un an.</w:t>
      </w:r>
    </w:p>
    <w:p w:rsidR="006627D0" w:rsidRPr="00FD1FEC" w:rsidRDefault="006627D0" w:rsidP="006627D0">
      <w:pPr>
        <w:pStyle w:val="2-TEXTECOURANTcommuniqu"/>
        <w:rPr>
          <w:color w:val="FF0000"/>
        </w:rPr>
      </w:pPr>
    </w:p>
    <w:p w:rsidR="006627D0" w:rsidRPr="003A7B66" w:rsidRDefault="006627D0" w:rsidP="006627D0">
      <w:pPr>
        <w:pStyle w:val="2-TEXTECOURANTcommuniqu"/>
      </w:pPr>
      <w:r w:rsidRPr="003A7B66">
        <w:t xml:space="preserve">Le </w:t>
      </w:r>
      <w:r w:rsidRPr="003A7B66">
        <w:rPr>
          <w:b/>
        </w:rPr>
        <w:t>résultat brut d’exploitation</w:t>
      </w:r>
      <w:r>
        <w:t xml:space="preserve"> ressort à 651</w:t>
      </w:r>
      <w:r w:rsidRPr="003A7B66">
        <w:t xml:space="preserve"> millions d’euros</w:t>
      </w:r>
      <w:r>
        <w:t xml:space="preserve"> au deuxième trimestre, en hausse de 11</w:t>
      </w:r>
      <w:r w:rsidRPr="003A7B66">
        <w:t xml:space="preserve">,2 % </w:t>
      </w:r>
      <w:r>
        <w:t xml:space="preserve">par rapport au deuxième trimestre 2014. Il s’élève à 1 301 </w:t>
      </w:r>
      <w:r w:rsidRPr="003A7B66">
        <w:t>millions d’euros</w:t>
      </w:r>
      <w:r>
        <w:t xml:space="preserve"> au premier semestre 2015, en augmentation de 11,3 % comparé au premier semestre 2014.</w:t>
      </w:r>
    </w:p>
    <w:p w:rsidR="006627D0" w:rsidRPr="002B3D74" w:rsidRDefault="006627D0" w:rsidP="006627D0">
      <w:pPr>
        <w:pStyle w:val="2-TEXTECOURANTcommuniqu"/>
        <w:rPr>
          <w:color w:val="FF0000"/>
        </w:rPr>
      </w:pPr>
    </w:p>
    <w:p w:rsidR="006627D0" w:rsidRPr="00421194" w:rsidRDefault="006627D0" w:rsidP="006627D0">
      <w:pPr>
        <w:pStyle w:val="2-TEXTECOURANTcommuniqu"/>
      </w:pPr>
      <w:r w:rsidRPr="003A7B66">
        <w:lastRenderedPageBreak/>
        <w:t xml:space="preserve">Le </w:t>
      </w:r>
      <w:r w:rsidRPr="003A7B66">
        <w:rPr>
          <w:b/>
        </w:rPr>
        <w:t>coût du risque</w:t>
      </w:r>
      <w:r w:rsidRPr="003A7B66">
        <w:t>, à 1</w:t>
      </w:r>
      <w:r>
        <w:t>32</w:t>
      </w:r>
      <w:r w:rsidRPr="003A7B66">
        <w:t xml:space="preserve"> millions d’euros, est en baisse de </w:t>
      </w:r>
      <w:r>
        <w:t>5,3</w:t>
      </w:r>
      <w:r w:rsidRPr="003A7B66">
        <w:t xml:space="preserve"> % comparé au deuxième trimestre 2014 en raison d’une baisse </w:t>
      </w:r>
      <w:r w:rsidR="000D4FC3">
        <w:t>du coût du risque individuel</w:t>
      </w:r>
      <w:r w:rsidRPr="003A7B66">
        <w:t xml:space="preserve">. </w:t>
      </w:r>
      <w:r w:rsidR="00937AA5">
        <w:t>Au premier semestre, il augmente de 10,4 % sur un an et s’établit à 305 millions d’euros.</w:t>
      </w:r>
    </w:p>
    <w:p w:rsidR="006627D0" w:rsidRPr="00FD1FEC" w:rsidRDefault="006627D0" w:rsidP="006627D0">
      <w:pPr>
        <w:pStyle w:val="2-TEXTECOURANTcommuniqu"/>
        <w:rPr>
          <w:color w:val="FF0000"/>
        </w:rPr>
      </w:pPr>
    </w:p>
    <w:p w:rsidR="006627D0" w:rsidRPr="00320FDF" w:rsidRDefault="006627D0" w:rsidP="006627D0">
      <w:pPr>
        <w:pStyle w:val="2-TEXTECOURANTcommuniqu"/>
      </w:pPr>
      <w:r w:rsidRPr="00320FDF">
        <w:rPr>
          <w:b/>
        </w:rPr>
        <w:t>Le résultat avant impôt</w:t>
      </w:r>
      <w:r>
        <w:t xml:space="preserve"> augmente de 15,9</w:t>
      </w:r>
      <w:r w:rsidRPr="00320FDF">
        <w:t xml:space="preserve"> % et s’élève à </w:t>
      </w:r>
      <w:r>
        <w:t>518</w:t>
      </w:r>
      <w:r w:rsidRPr="00320FDF">
        <w:t xml:space="preserve"> millions d’euros</w:t>
      </w:r>
      <w:r>
        <w:t xml:space="preserve"> au deuxième trimestre 2015</w:t>
      </w:r>
      <w:r w:rsidRPr="00320FDF">
        <w:t>.</w:t>
      </w:r>
      <w:r>
        <w:t xml:space="preserve"> Il ressort à 995 millions d’euros au premier semestre, soit une hausse de 11,5 %.</w:t>
      </w:r>
    </w:p>
    <w:p w:rsidR="006627D0" w:rsidRDefault="006627D0" w:rsidP="006627D0">
      <w:pPr>
        <w:pStyle w:val="2-TEXTECOURANTcommuniqu"/>
        <w:rPr>
          <w:b/>
        </w:rPr>
      </w:pPr>
    </w:p>
    <w:p w:rsidR="006627D0" w:rsidRDefault="006627D0" w:rsidP="006627D0">
      <w:pPr>
        <w:pStyle w:val="2-TEXTECOURANTcommuniqu"/>
      </w:pPr>
      <w:r w:rsidRPr="00BA67D7">
        <w:rPr>
          <w:b/>
        </w:rPr>
        <w:t>En retraitant l’impact de l’IFRIC 21</w:t>
      </w:r>
      <w:r w:rsidRPr="00320FDF">
        <w:t xml:space="preserve">, </w:t>
      </w:r>
      <w:r w:rsidRPr="00320FDF">
        <w:rPr>
          <w:b/>
        </w:rPr>
        <w:t xml:space="preserve">le résultat avant impôt </w:t>
      </w:r>
      <w:r>
        <w:t>s’élève à 500</w:t>
      </w:r>
      <w:r w:rsidRPr="00320FDF">
        <w:t xml:space="preserve"> millions d’euros</w:t>
      </w:r>
      <w:r>
        <w:t xml:space="preserve"> au deuxième trimestre 2015</w:t>
      </w:r>
      <w:r w:rsidRPr="00320FDF">
        <w:t>, soit une hausse de 1</w:t>
      </w:r>
      <w:r>
        <w:t>7,4</w:t>
      </w:r>
      <w:r w:rsidRPr="00320FDF">
        <w:t xml:space="preserve"> % sur un an. Le </w:t>
      </w:r>
      <w:r w:rsidRPr="00320FDF">
        <w:rPr>
          <w:b/>
        </w:rPr>
        <w:t>coefficient d’exploitation</w:t>
      </w:r>
      <w:r>
        <w:t xml:space="preserve"> diminue de 2,6 points, à 64</w:t>
      </w:r>
      <w:r w:rsidRPr="00320FDF">
        <w:t>,</w:t>
      </w:r>
      <w:r>
        <w:t>8</w:t>
      </w:r>
      <w:r w:rsidRPr="00320FDF">
        <w:t xml:space="preserve"> %.</w:t>
      </w:r>
      <w:r>
        <w:t xml:space="preserve"> Au premier semestre, le résultat avant impôt s’établit à 1 031 millions d’euros, soit une augmentation de 10,3 % par rapport au premier semestre 2014. Sur cette </w:t>
      </w:r>
      <w:r w:rsidRPr="00826D97">
        <w:t>période, le coefficient d’exploitation</w:t>
      </w:r>
      <w:r>
        <w:t xml:space="preserve"> diminue de 2,2 points, à 63</w:t>
      </w:r>
      <w:r w:rsidRPr="00320FDF">
        <w:t>,</w:t>
      </w:r>
      <w:r>
        <w:t>5</w:t>
      </w:r>
      <w:r w:rsidRPr="00320FDF">
        <w:t xml:space="preserve"> %.</w:t>
      </w:r>
    </w:p>
    <w:p w:rsidR="0069247C" w:rsidRDefault="00602E64" w:rsidP="00A72198">
      <w:pPr>
        <w:pStyle w:val="3-Titre2"/>
      </w:pPr>
      <w:r>
        <w:rPr>
          <w:rStyle w:val="orange"/>
        </w:rPr>
        <w:t>3</w:t>
      </w:r>
      <w:r w:rsidR="0069247C" w:rsidRPr="00A72198">
        <w:rPr>
          <w:rStyle w:val="orange"/>
        </w:rPr>
        <w:t>.1.3</w:t>
      </w:r>
      <w:r w:rsidR="003A4476">
        <w:t xml:space="preserve"> </w:t>
      </w:r>
      <w:r w:rsidR="0069247C">
        <w:t>Autres r</w:t>
      </w:r>
      <w:r w:rsidR="0069247C" w:rsidRPr="00305441">
        <w:t>éseaux</w:t>
      </w:r>
    </w:p>
    <w:p w:rsidR="0069247C" w:rsidRDefault="0069247C" w:rsidP="00A72198">
      <w:pPr>
        <w:pStyle w:val="3-Titre3"/>
      </w:pPr>
      <w:r>
        <w:t xml:space="preserve">Financement de l’Immobilier </w:t>
      </w:r>
    </w:p>
    <w:p w:rsidR="0069247C" w:rsidRDefault="0069247C" w:rsidP="0069247C">
      <w:pPr>
        <w:pStyle w:val="2-TEXTECOURANTcommuniqu"/>
      </w:pPr>
    </w:p>
    <w:p w:rsidR="00BE42FC" w:rsidRPr="0074091D" w:rsidRDefault="00BE42FC">
      <w:pPr>
        <w:pStyle w:val="intro"/>
      </w:pPr>
      <w:r w:rsidRPr="0074091D">
        <w:t>Le Crédit Foncier est la principale composante du pôle Financement de l’Immobilier.</w:t>
      </w:r>
    </w:p>
    <w:p w:rsidR="00BE42FC" w:rsidRPr="00A85319" w:rsidRDefault="00BE42FC" w:rsidP="00BE42FC">
      <w:pPr>
        <w:pStyle w:val="2-TEXTECOURANTcommuniqu"/>
        <w:rPr>
          <w:color w:val="FF0000"/>
          <w:spacing w:val="0"/>
        </w:rPr>
      </w:pPr>
    </w:p>
    <w:p w:rsidR="003D392D" w:rsidRPr="00A85319" w:rsidRDefault="003D392D" w:rsidP="003D392D">
      <w:pPr>
        <w:pStyle w:val="2-TEXTECOURANTcommuniqu"/>
        <w:rPr>
          <w:color w:val="FF0000"/>
          <w:spacing w:val="0"/>
        </w:rPr>
      </w:pPr>
      <w:r w:rsidRPr="00A85319">
        <w:rPr>
          <w:spacing w:val="0"/>
        </w:rPr>
        <w:t>Dans un marché immobilier toujours incertain, l’activité du Crédit Foncier est restée soutenue au premier semestre 2015. La production totale de crédits s’établit ainsi à 4,8 milliards d’euros (4,0 milliards d’euros pour le compte de particuliers</w:t>
      </w:r>
      <w:r w:rsidR="000B0254" w:rsidRPr="00A85319">
        <w:rPr>
          <w:spacing w:val="0"/>
        </w:rPr>
        <w:t>,</w:t>
      </w:r>
      <w:r w:rsidRPr="00A85319">
        <w:rPr>
          <w:spacing w:val="0"/>
        </w:rPr>
        <w:t xml:space="preserve"> et 0,8 milliard d’euros pour le compte des investisseurs immobiliers et des équipements publics), en hausse de </w:t>
      </w:r>
      <w:r w:rsidR="007B75CA">
        <w:rPr>
          <w:spacing w:val="0"/>
        </w:rPr>
        <w:t>11</w:t>
      </w:r>
      <w:r w:rsidRPr="00A85319">
        <w:rPr>
          <w:spacing w:val="0"/>
        </w:rPr>
        <w:t xml:space="preserve"> % par rapport au premier semestre 2014. </w:t>
      </w:r>
      <w:r w:rsidR="00A8244F" w:rsidRPr="00A85319">
        <w:rPr>
          <w:spacing w:val="0"/>
        </w:rPr>
        <w:t>Cette nouvelle production s’est accompagnée d’une amélioration des marges.</w:t>
      </w:r>
    </w:p>
    <w:p w:rsidR="003D392D" w:rsidRDefault="003D392D" w:rsidP="003D392D">
      <w:pPr>
        <w:pStyle w:val="2-TEXTECOURANTcommuniqu"/>
        <w:rPr>
          <w:color w:val="FF0000"/>
          <w:spacing w:val="0"/>
        </w:rPr>
      </w:pPr>
    </w:p>
    <w:p w:rsidR="00F83C7A" w:rsidRPr="00F83C7A" w:rsidRDefault="00F83C7A" w:rsidP="003D392D">
      <w:pPr>
        <w:pStyle w:val="2-TEXTECOURANTcommuniqu"/>
        <w:rPr>
          <w:spacing w:val="0"/>
        </w:rPr>
      </w:pPr>
      <w:r w:rsidRPr="00F83C7A">
        <w:rPr>
          <w:spacing w:val="0"/>
        </w:rPr>
        <w:t>Au deuxième trimestre 2015, le produit net bancaire du pôle Financement de l’Immobilier progresse de 24,0 % sur un an pour atteindre 232 millions d’euros grâce à la hausse des commissions liée au niveau élevé des remboursements anticipés.</w:t>
      </w:r>
    </w:p>
    <w:p w:rsidR="00F83C7A" w:rsidRPr="00A85319" w:rsidRDefault="00F83C7A" w:rsidP="003D392D">
      <w:pPr>
        <w:pStyle w:val="2-TEXTECOURANTcommuniqu"/>
        <w:rPr>
          <w:color w:val="FF0000"/>
          <w:spacing w:val="0"/>
        </w:rPr>
      </w:pPr>
    </w:p>
    <w:p w:rsidR="00F83C7A" w:rsidRPr="005E02F3" w:rsidRDefault="007B28E9" w:rsidP="00334575">
      <w:pPr>
        <w:pStyle w:val="2-TEXTECOURANTcommuniqu"/>
        <w:rPr>
          <w:spacing w:val="0"/>
        </w:rPr>
      </w:pPr>
      <w:r w:rsidRPr="005E02F3">
        <w:rPr>
          <w:spacing w:val="0"/>
        </w:rPr>
        <w:t>R</w:t>
      </w:r>
      <w:r w:rsidR="00334575" w:rsidRPr="005E02F3">
        <w:t>etraité d’éléments exceptionnels</w:t>
      </w:r>
      <w:bookmarkStart w:id="14" w:name="_Ref426024299"/>
      <w:r w:rsidRPr="005E02F3">
        <w:rPr>
          <w:rStyle w:val="Appelnotedebasdep"/>
        </w:rPr>
        <w:footnoteReference w:id="24"/>
      </w:r>
      <w:bookmarkEnd w:id="14"/>
      <w:r w:rsidR="00334575" w:rsidRPr="005E02F3">
        <w:t>,</w:t>
      </w:r>
      <w:r w:rsidR="003D392D" w:rsidRPr="005E02F3">
        <w:rPr>
          <w:spacing w:val="0"/>
        </w:rPr>
        <w:t xml:space="preserve"> </w:t>
      </w:r>
      <w:r w:rsidRPr="005E02F3">
        <w:rPr>
          <w:spacing w:val="0"/>
        </w:rPr>
        <w:t xml:space="preserve">le produit net bancaire </w:t>
      </w:r>
      <w:r w:rsidR="00F83C7A" w:rsidRPr="005E02F3">
        <w:rPr>
          <w:spacing w:val="0"/>
        </w:rPr>
        <w:t xml:space="preserve">progresse de 5,2 % par rapport au deuxième trimestre 2014, la marge </w:t>
      </w:r>
      <w:r w:rsidR="00F83C7A" w:rsidRPr="005E02F3">
        <w:t>nette d’intérêt restant stable.</w:t>
      </w:r>
    </w:p>
    <w:p w:rsidR="00F83C7A" w:rsidRDefault="00F83C7A" w:rsidP="00334575">
      <w:pPr>
        <w:pStyle w:val="2-TEXTECOURANTcommuniqu"/>
        <w:rPr>
          <w:spacing w:val="0"/>
        </w:rPr>
      </w:pPr>
    </w:p>
    <w:p w:rsidR="003D392D" w:rsidRPr="00A85319" w:rsidRDefault="00982BFB" w:rsidP="003D392D">
      <w:pPr>
        <w:pStyle w:val="2-TEXTECOURANTcommuniqu"/>
        <w:rPr>
          <w:spacing w:val="0"/>
        </w:rPr>
      </w:pPr>
      <w:r w:rsidRPr="00A85319">
        <w:rPr>
          <w:spacing w:val="0"/>
        </w:rPr>
        <w:t>Au premier semestre 2015, le produit net bancaire s’élève à 451 millions d’euros, en forte croissance (+ 27,0 %) par rapport au premier semestre 2014.</w:t>
      </w:r>
    </w:p>
    <w:p w:rsidR="003D392D" w:rsidRPr="00A85319" w:rsidRDefault="003D392D" w:rsidP="003D392D">
      <w:pPr>
        <w:pStyle w:val="2-TEXTECOURANTcommuniqu"/>
        <w:rPr>
          <w:color w:val="FF0000"/>
          <w:spacing w:val="0"/>
        </w:rPr>
      </w:pPr>
    </w:p>
    <w:p w:rsidR="003D392D" w:rsidRPr="00A85319" w:rsidRDefault="00071054" w:rsidP="003D392D">
      <w:pPr>
        <w:pStyle w:val="2-TEXTECOURANTcommuniqu"/>
        <w:rPr>
          <w:spacing w:val="0"/>
        </w:rPr>
      </w:pPr>
      <w:r w:rsidRPr="00A85319">
        <w:rPr>
          <w:spacing w:val="0"/>
        </w:rPr>
        <w:t>Les</w:t>
      </w:r>
      <w:r w:rsidR="003D392D" w:rsidRPr="00A85319">
        <w:rPr>
          <w:spacing w:val="0"/>
        </w:rPr>
        <w:t xml:space="preserve"> </w:t>
      </w:r>
      <w:r w:rsidR="003D392D" w:rsidRPr="00A85319">
        <w:rPr>
          <w:rStyle w:val="lev"/>
          <w:spacing w:val="0"/>
        </w:rPr>
        <w:t>frais de gestion</w:t>
      </w:r>
      <w:r w:rsidR="007907D8" w:rsidRPr="00A85319">
        <w:rPr>
          <w:spacing w:val="0"/>
        </w:rPr>
        <w:t xml:space="preserve"> </w:t>
      </w:r>
      <w:r w:rsidRPr="00A85319">
        <w:rPr>
          <w:spacing w:val="0"/>
        </w:rPr>
        <w:t>sont en baisse significative (- 8,9 %) bénéficiant</w:t>
      </w:r>
      <w:r w:rsidR="003D392D" w:rsidRPr="00A85319">
        <w:rPr>
          <w:spacing w:val="0"/>
        </w:rPr>
        <w:t xml:space="preserve"> </w:t>
      </w:r>
      <w:r w:rsidR="00E87C56" w:rsidRPr="00A85319">
        <w:rPr>
          <w:spacing w:val="0"/>
        </w:rPr>
        <w:t xml:space="preserve">d’une baisse de la masse salariale à la suite d’un plan </w:t>
      </w:r>
      <w:r w:rsidR="003D392D" w:rsidRPr="00A85319">
        <w:rPr>
          <w:spacing w:val="0"/>
        </w:rPr>
        <w:t>de départs à la retraite et d’un recul des frais informatiques. Ils s’élèvent à 123 millions d’euros à la fin du deuxième trimestre 2015.</w:t>
      </w:r>
      <w:r w:rsidR="000C70E0" w:rsidRPr="00A85319">
        <w:rPr>
          <w:spacing w:val="0"/>
        </w:rPr>
        <w:t xml:space="preserve"> Au premier semestre 2015, ils ressortent à 268 millions d’euros, en baisse de 7,1 %.</w:t>
      </w:r>
    </w:p>
    <w:p w:rsidR="003D392D" w:rsidRPr="00A85319" w:rsidRDefault="003D392D" w:rsidP="003D392D">
      <w:pPr>
        <w:pStyle w:val="2-TEXTECOURANTcommuniqu"/>
        <w:rPr>
          <w:color w:val="FF0000"/>
          <w:spacing w:val="0"/>
        </w:rPr>
      </w:pPr>
    </w:p>
    <w:p w:rsidR="003D392D" w:rsidRPr="00A85319" w:rsidRDefault="003D392D" w:rsidP="003D392D">
      <w:pPr>
        <w:pStyle w:val="2-TEXTECOURANTcommuniqu"/>
        <w:rPr>
          <w:spacing w:val="0"/>
        </w:rPr>
      </w:pPr>
      <w:r w:rsidRPr="00A85319">
        <w:rPr>
          <w:spacing w:val="0"/>
        </w:rPr>
        <w:t xml:space="preserve">Le </w:t>
      </w:r>
      <w:r w:rsidRPr="00A85319">
        <w:rPr>
          <w:rStyle w:val="lev"/>
          <w:spacing w:val="0"/>
        </w:rPr>
        <w:t>coût du risque</w:t>
      </w:r>
      <w:r w:rsidRPr="00A85319">
        <w:rPr>
          <w:spacing w:val="0"/>
        </w:rPr>
        <w:t xml:space="preserve"> ressort à 31 millions d’euros, soit une baisse de 16,6 % par rapport au deuxième trimestre 2014.</w:t>
      </w:r>
      <w:r w:rsidR="00B11C7D" w:rsidRPr="00A85319">
        <w:rPr>
          <w:spacing w:val="0"/>
        </w:rPr>
        <w:t xml:space="preserve"> Il est de 57 millions d’euros sur le semestre, en diminution de 11,1 % sur un an.</w:t>
      </w:r>
    </w:p>
    <w:p w:rsidR="003D392D" w:rsidRPr="00A85319" w:rsidRDefault="003D392D" w:rsidP="003D392D">
      <w:pPr>
        <w:pStyle w:val="2-TEXTECOURANTcommuniqu"/>
        <w:rPr>
          <w:spacing w:val="0"/>
          <w:highlight w:val="yellow"/>
        </w:rPr>
      </w:pPr>
    </w:p>
    <w:p w:rsidR="003D392D" w:rsidRPr="00A85319" w:rsidRDefault="003D392D" w:rsidP="003D392D">
      <w:pPr>
        <w:pStyle w:val="2-TEXTECOURANTcommuniqu"/>
        <w:rPr>
          <w:spacing w:val="0"/>
        </w:rPr>
      </w:pPr>
      <w:r w:rsidRPr="00A85319">
        <w:rPr>
          <w:spacing w:val="0"/>
        </w:rPr>
        <w:t xml:space="preserve">Le </w:t>
      </w:r>
      <w:r w:rsidRPr="00A85319">
        <w:rPr>
          <w:b/>
          <w:spacing w:val="0"/>
        </w:rPr>
        <w:t>résultat avant impôt</w:t>
      </w:r>
      <w:r w:rsidRPr="00A85319">
        <w:rPr>
          <w:spacing w:val="0"/>
        </w:rPr>
        <w:t xml:space="preserve"> s’élève à 79 millions d’euros au </w:t>
      </w:r>
      <w:r w:rsidR="000161F0" w:rsidRPr="00A85319">
        <w:rPr>
          <w:spacing w:val="0"/>
        </w:rPr>
        <w:t>deuxième trimestre</w:t>
      </w:r>
      <w:r w:rsidR="006D2E97" w:rsidRPr="00A85319">
        <w:rPr>
          <w:spacing w:val="0"/>
        </w:rPr>
        <w:t xml:space="preserve"> 2015 et </w:t>
      </w:r>
      <w:r w:rsidR="000161F0" w:rsidRPr="00A85319">
        <w:rPr>
          <w:spacing w:val="0"/>
        </w:rPr>
        <w:t>à 129</w:t>
      </w:r>
      <w:r w:rsidR="00E87C56" w:rsidRPr="00A85319">
        <w:rPr>
          <w:spacing w:val="0"/>
        </w:rPr>
        <w:t> </w:t>
      </w:r>
      <w:r w:rsidR="000161F0" w:rsidRPr="00A85319">
        <w:rPr>
          <w:spacing w:val="0"/>
        </w:rPr>
        <w:t>millions d’euros au premier semestre 2015.</w:t>
      </w:r>
    </w:p>
    <w:p w:rsidR="003D392D" w:rsidRPr="00A85319" w:rsidRDefault="003D392D" w:rsidP="003D392D">
      <w:pPr>
        <w:pStyle w:val="2-TEXTECOURANTcommuniqu"/>
        <w:rPr>
          <w:color w:val="FF0000"/>
          <w:spacing w:val="0"/>
        </w:rPr>
      </w:pPr>
    </w:p>
    <w:p w:rsidR="003D392D" w:rsidRPr="00A85319" w:rsidRDefault="003D392D" w:rsidP="003D392D">
      <w:pPr>
        <w:pStyle w:val="2-TEXTECOURANTcommuniqu"/>
        <w:rPr>
          <w:spacing w:val="0"/>
        </w:rPr>
      </w:pPr>
      <w:r w:rsidRPr="00A85319">
        <w:rPr>
          <w:b/>
          <w:spacing w:val="0"/>
        </w:rPr>
        <w:t>En retraitant l’impact de l’IFRIC 21,</w:t>
      </w:r>
      <w:r w:rsidRPr="00A85319">
        <w:rPr>
          <w:spacing w:val="0"/>
        </w:rPr>
        <w:t xml:space="preserve"> le </w:t>
      </w:r>
      <w:r w:rsidRPr="00A85319">
        <w:rPr>
          <w:b/>
          <w:spacing w:val="0"/>
        </w:rPr>
        <w:t xml:space="preserve">résultat avant impôt </w:t>
      </w:r>
      <w:r w:rsidRPr="00A85319">
        <w:rPr>
          <w:spacing w:val="0"/>
        </w:rPr>
        <w:t>s’établit à 74 millions d’euros au deuxième trimestre 2015</w:t>
      </w:r>
      <w:r w:rsidR="004037F1" w:rsidRPr="00A85319">
        <w:rPr>
          <w:spacing w:val="0"/>
        </w:rPr>
        <w:t xml:space="preserve"> et à 141 millions d’euros au premier semestre</w:t>
      </w:r>
      <w:r w:rsidRPr="00A85319">
        <w:rPr>
          <w:spacing w:val="0"/>
        </w:rPr>
        <w:t xml:space="preserve">. Le </w:t>
      </w:r>
      <w:r w:rsidRPr="00A85319">
        <w:rPr>
          <w:b/>
          <w:spacing w:val="0"/>
        </w:rPr>
        <w:t>coefficient d’exploitation</w:t>
      </w:r>
      <w:r w:rsidRPr="00A85319">
        <w:rPr>
          <w:spacing w:val="0"/>
        </w:rPr>
        <w:t xml:space="preserve"> ressort à 55,2 %, en diminution de 20,8 points</w:t>
      </w:r>
      <w:r w:rsidR="004037F1" w:rsidRPr="00A85319">
        <w:rPr>
          <w:spacing w:val="0"/>
        </w:rPr>
        <w:t xml:space="preserve"> au deuxième trimestre 2015 et à 56,9 %, en baisse de 19</w:t>
      </w:r>
      <w:r w:rsidR="005A67AB" w:rsidRPr="00A85319">
        <w:rPr>
          <w:spacing w:val="0"/>
        </w:rPr>
        <w:t>,9</w:t>
      </w:r>
      <w:r w:rsidR="004037F1" w:rsidRPr="00A85319">
        <w:rPr>
          <w:spacing w:val="0"/>
        </w:rPr>
        <w:t xml:space="preserve"> points au premier semestre</w:t>
      </w:r>
      <w:r w:rsidR="006A083C" w:rsidRPr="00A85319">
        <w:rPr>
          <w:spacing w:val="0"/>
        </w:rPr>
        <w:t xml:space="preserve"> 2015</w:t>
      </w:r>
      <w:r w:rsidRPr="00A85319">
        <w:rPr>
          <w:spacing w:val="0"/>
        </w:rPr>
        <w:t>.</w:t>
      </w:r>
    </w:p>
    <w:p w:rsidR="00585A01" w:rsidRDefault="0069247C">
      <w:pPr>
        <w:jc w:val="left"/>
      </w:pPr>
      <w:r>
        <w:t> </w:t>
      </w:r>
    </w:p>
    <w:p w:rsidR="00D16A83" w:rsidRDefault="00D16A83">
      <w:pPr>
        <w:jc w:val="left"/>
        <w:rPr>
          <w:rFonts w:cs="Verdana"/>
          <w:b/>
          <w:bCs/>
          <w:sz w:val="20"/>
          <w:szCs w:val="20"/>
        </w:rPr>
      </w:pPr>
      <w:r>
        <w:rPr>
          <w:b/>
          <w:bCs/>
          <w:sz w:val="20"/>
          <w:szCs w:val="20"/>
        </w:rPr>
        <w:br w:type="page"/>
      </w:r>
    </w:p>
    <w:p w:rsidR="00305441" w:rsidRPr="00305441" w:rsidRDefault="00305441" w:rsidP="00305441">
      <w:pPr>
        <w:pStyle w:val="Default"/>
        <w:numPr>
          <w:ilvl w:val="0"/>
          <w:numId w:val="24"/>
        </w:numPr>
        <w:rPr>
          <w:color w:val="auto"/>
          <w:sz w:val="20"/>
          <w:szCs w:val="20"/>
        </w:rPr>
      </w:pPr>
      <w:r w:rsidRPr="00305441">
        <w:rPr>
          <w:b/>
          <w:bCs/>
          <w:color w:val="auto"/>
          <w:sz w:val="20"/>
          <w:szCs w:val="20"/>
        </w:rPr>
        <w:lastRenderedPageBreak/>
        <w:t>Assurance et Autres réseaux (</w:t>
      </w:r>
      <w:r w:rsidR="00CB1F75">
        <w:rPr>
          <w:b/>
          <w:bCs/>
          <w:color w:val="auto"/>
          <w:sz w:val="20"/>
          <w:szCs w:val="20"/>
        </w:rPr>
        <w:t xml:space="preserve">CNP, </w:t>
      </w:r>
      <w:r w:rsidRPr="00305441">
        <w:rPr>
          <w:b/>
          <w:bCs/>
          <w:color w:val="auto"/>
          <w:sz w:val="20"/>
          <w:szCs w:val="20"/>
        </w:rPr>
        <w:t>BPCE IOM, Banque Palatine)</w:t>
      </w:r>
    </w:p>
    <w:p w:rsidR="00305441" w:rsidRDefault="00305441" w:rsidP="00305441">
      <w:pPr>
        <w:pStyle w:val="Default"/>
        <w:ind w:left="720"/>
        <w:rPr>
          <w:sz w:val="20"/>
          <w:szCs w:val="20"/>
        </w:rPr>
      </w:pPr>
      <w:r>
        <w:rPr>
          <w:b/>
          <w:bCs/>
          <w:sz w:val="20"/>
          <w:szCs w:val="20"/>
        </w:rPr>
        <w:t xml:space="preserve"> </w:t>
      </w:r>
    </w:p>
    <w:p w:rsidR="00305441" w:rsidRDefault="00305441" w:rsidP="00305441">
      <w:pPr>
        <w:pStyle w:val="Default"/>
        <w:rPr>
          <w:sz w:val="20"/>
          <w:szCs w:val="20"/>
        </w:rPr>
      </w:pPr>
      <w:r>
        <w:rPr>
          <w:b/>
          <w:bCs/>
          <w:sz w:val="20"/>
          <w:szCs w:val="20"/>
        </w:rPr>
        <w:t xml:space="preserve">Assurance </w:t>
      </w:r>
    </w:p>
    <w:p w:rsidR="00A8787C" w:rsidRDefault="00A8787C" w:rsidP="00305441">
      <w:pPr>
        <w:pStyle w:val="Default"/>
        <w:rPr>
          <w:rFonts w:cs="Times New Roman"/>
          <w:i/>
          <w:color w:val="825D69" w:themeColor="text2"/>
          <w:spacing w:val="-4"/>
          <w:sz w:val="18"/>
          <w:szCs w:val="18"/>
        </w:rPr>
      </w:pPr>
    </w:p>
    <w:p w:rsidR="00305441" w:rsidRPr="00A8787C" w:rsidRDefault="00305441" w:rsidP="00885158">
      <w:pPr>
        <w:pStyle w:val="Default"/>
        <w:jc w:val="both"/>
        <w:rPr>
          <w:rFonts w:cs="Times New Roman"/>
          <w:i/>
          <w:color w:val="825D69" w:themeColor="text2"/>
          <w:spacing w:val="-4"/>
          <w:sz w:val="18"/>
          <w:szCs w:val="18"/>
        </w:rPr>
      </w:pPr>
      <w:r w:rsidRPr="00A8787C">
        <w:rPr>
          <w:rFonts w:cs="Times New Roman"/>
          <w:i/>
          <w:color w:val="825D69" w:themeColor="text2"/>
          <w:spacing w:val="-4"/>
          <w:sz w:val="18"/>
          <w:szCs w:val="18"/>
        </w:rPr>
        <w:t xml:space="preserve">La principale composante du pôle Assurance est la participation minoritaire dans CNP Assurances, consolidée par mise en équivalence. </w:t>
      </w:r>
    </w:p>
    <w:p w:rsidR="00305441" w:rsidRDefault="00305441" w:rsidP="00305441">
      <w:pPr>
        <w:pStyle w:val="Default"/>
        <w:rPr>
          <w:sz w:val="18"/>
          <w:szCs w:val="18"/>
        </w:rPr>
      </w:pPr>
    </w:p>
    <w:p w:rsidR="00305441" w:rsidRDefault="00914227" w:rsidP="00305441">
      <w:pPr>
        <w:pStyle w:val="Default"/>
        <w:jc w:val="both"/>
        <w:rPr>
          <w:sz w:val="20"/>
          <w:szCs w:val="20"/>
        </w:rPr>
      </w:pPr>
      <w:r>
        <w:rPr>
          <w:sz w:val="20"/>
          <w:szCs w:val="20"/>
        </w:rPr>
        <w:t>L</w:t>
      </w:r>
      <w:r w:rsidR="00305441">
        <w:rPr>
          <w:sz w:val="20"/>
          <w:szCs w:val="20"/>
        </w:rPr>
        <w:t xml:space="preserve">a collecte brute </w:t>
      </w:r>
      <w:r w:rsidR="00144B76">
        <w:rPr>
          <w:sz w:val="20"/>
          <w:szCs w:val="20"/>
        </w:rPr>
        <w:t xml:space="preserve">des Caisses d’Epargne </w:t>
      </w:r>
      <w:r>
        <w:rPr>
          <w:sz w:val="20"/>
          <w:szCs w:val="20"/>
        </w:rPr>
        <w:t xml:space="preserve">en assurance vie </w:t>
      </w:r>
      <w:r w:rsidR="00305441">
        <w:rPr>
          <w:sz w:val="20"/>
          <w:szCs w:val="20"/>
        </w:rPr>
        <w:t>s’élève à 2,3 milliards d’euros au deuxième trimestre 2015, en progression de 4,8 %</w:t>
      </w:r>
      <w:r w:rsidR="00205B44">
        <w:rPr>
          <w:sz w:val="20"/>
          <w:szCs w:val="20"/>
        </w:rPr>
        <w:t xml:space="preserve"> sur un an</w:t>
      </w:r>
      <w:r w:rsidR="00305441">
        <w:rPr>
          <w:sz w:val="20"/>
          <w:szCs w:val="20"/>
        </w:rPr>
        <w:t>, et atteint 5,2 milliards d’euros au premier semestre 2015, en hausse de 7,1 %</w:t>
      </w:r>
      <w:r w:rsidR="00F50DA0">
        <w:rPr>
          <w:sz w:val="20"/>
          <w:szCs w:val="20"/>
        </w:rPr>
        <w:t xml:space="preserve"> sur un an</w:t>
      </w:r>
      <w:r w:rsidR="00305441">
        <w:rPr>
          <w:sz w:val="20"/>
          <w:szCs w:val="20"/>
        </w:rPr>
        <w:t xml:space="preserve">, sous l’impulsion notamment des </w:t>
      </w:r>
      <w:r w:rsidR="007B2EA7">
        <w:rPr>
          <w:sz w:val="20"/>
          <w:szCs w:val="20"/>
        </w:rPr>
        <w:t xml:space="preserve">produits de la gestion privée, qui </w:t>
      </w:r>
      <w:r w:rsidR="00305441">
        <w:rPr>
          <w:sz w:val="20"/>
          <w:szCs w:val="20"/>
        </w:rPr>
        <w:t>représent</w:t>
      </w:r>
      <w:r w:rsidR="007B2EA7">
        <w:rPr>
          <w:sz w:val="20"/>
          <w:szCs w:val="20"/>
        </w:rPr>
        <w:t>e</w:t>
      </w:r>
      <w:r w:rsidR="00305441">
        <w:rPr>
          <w:sz w:val="20"/>
          <w:szCs w:val="20"/>
        </w:rPr>
        <w:t xml:space="preserve">nt 61,2 % de la collecte </w:t>
      </w:r>
      <w:r w:rsidR="00D73B77">
        <w:rPr>
          <w:sz w:val="20"/>
          <w:szCs w:val="20"/>
        </w:rPr>
        <w:t xml:space="preserve">brute </w:t>
      </w:r>
      <w:r w:rsidR="00305441">
        <w:rPr>
          <w:sz w:val="20"/>
          <w:szCs w:val="20"/>
        </w:rPr>
        <w:t>du deuxième trimestre</w:t>
      </w:r>
      <w:r w:rsidR="00D73B77">
        <w:rPr>
          <w:sz w:val="20"/>
          <w:szCs w:val="20"/>
        </w:rPr>
        <w:t xml:space="preserve"> 2015 (contre 59,3 % au premier trimestre 2015 et 58,2 % au deuxième trimestre 2014)</w:t>
      </w:r>
      <w:r w:rsidR="00305441">
        <w:rPr>
          <w:sz w:val="20"/>
          <w:szCs w:val="20"/>
        </w:rPr>
        <w:t>.</w:t>
      </w:r>
    </w:p>
    <w:p w:rsidR="00305441" w:rsidRDefault="00305441" w:rsidP="00305441">
      <w:pPr>
        <w:pStyle w:val="Default"/>
        <w:jc w:val="both"/>
        <w:rPr>
          <w:sz w:val="20"/>
          <w:szCs w:val="20"/>
        </w:rPr>
      </w:pPr>
    </w:p>
    <w:p w:rsidR="00305441" w:rsidRDefault="00751E50" w:rsidP="00305441">
      <w:pPr>
        <w:pStyle w:val="Default"/>
        <w:jc w:val="both"/>
        <w:rPr>
          <w:sz w:val="20"/>
          <w:szCs w:val="20"/>
        </w:rPr>
      </w:pPr>
      <w:r>
        <w:rPr>
          <w:sz w:val="20"/>
          <w:szCs w:val="20"/>
        </w:rPr>
        <w:t xml:space="preserve">Les </w:t>
      </w:r>
      <w:r w:rsidR="00305441" w:rsidRPr="005B3BDF">
        <w:rPr>
          <w:sz w:val="20"/>
          <w:szCs w:val="20"/>
        </w:rPr>
        <w:t>unités de compte représente</w:t>
      </w:r>
      <w:r w:rsidR="00051528">
        <w:rPr>
          <w:sz w:val="20"/>
          <w:szCs w:val="20"/>
        </w:rPr>
        <w:t>nt</w:t>
      </w:r>
      <w:r w:rsidR="00305441" w:rsidRPr="005B3BDF">
        <w:rPr>
          <w:sz w:val="20"/>
          <w:szCs w:val="20"/>
        </w:rPr>
        <w:t xml:space="preserve"> </w:t>
      </w:r>
      <w:r w:rsidR="00305441">
        <w:rPr>
          <w:sz w:val="20"/>
          <w:szCs w:val="20"/>
        </w:rPr>
        <w:t>20</w:t>
      </w:r>
      <w:r w:rsidR="00305441" w:rsidRPr="005B3BDF">
        <w:rPr>
          <w:sz w:val="20"/>
          <w:szCs w:val="20"/>
        </w:rPr>
        <w:t xml:space="preserve"> % </w:t>
      </w:r>
      <w:r w:rsidR="00051528">
        <w:rPr>
          <w:sz w:val="20"/>
          <w:szCs w:val="20"/>
        </w:rPr>
        <w:t>de la collecte brute au</w:t>
      </w:r>
      <w:r w:rsidR="00305441" w:rsidRPr="005B3BDF">
        <w:rPr>
          <w:sz w:val="20"/>
          <w:szCs w:val="20"/>
        </w:rPr>
        <w:t xml:space="preserve"> </w:t>
      </w:r>
      <w:r w:rsidR="006168B1">
        <w:rPr>
          <w:sz w:val="20"/>
          <w:szCs w:val="20"/>
        </w:rPr>
        <w:t>30 juin</w:t>
      </w:r>
      <w:r w:rsidR="00305441" w:rsidRPr="005B3BDF">
        <w:rPr>
          <w:sz w:val="20"/>
          <w:szCs w:val="20"/>
        </w:rPr>
        <w:t xml:space="preserve"> 201</w:t>
      </w:r>
      <w:r w:rsidR="00305441">
        <w:rPr>
          <w:sz w:val="20"/>
          <w:szCs w:val="20"/>
        </w:rPr>
        <w:t>5</w:t>
      </w:r>
      <w:r w:rsidR="006168B1">
        <w:rPr>
          <w:sz w:val="20"/>
          <w:szCs w:val="20"/>
        </w:rPr>
        <w:t xml:space="preserve"> </w:t>
      </w:r>
      <w:r w:rsidR="008315DF">
        <w:rPr>
          <w:sz w:val="20"/>
          <w:szCs w:val="20"/>
        </w:rPr>
        <w:t>(</w:t>
      </w:r>
      <w:r w:rsidR="006168B1">
        <w:rPr>
          <w:sz w:val="20"/>
          <w:szCs w:val="20"/>
        </w:rPr>
        <w:t>contre 15 % au</w:t>
      </w:r>
      <w:r w:rsidR="00B35BB4">
        <w:rPr>
          <w:sz w:val="20"/>
          <w:szCs w:val="20"/>
        </w:rPr>
        <w:t xml:space="preserve"> </w:t>
      </w:r>
      <w:r w:rsidR="006168B1">
        <w:rPr>
          <w:sz w:val="20"/>
          <w:szCs w:val="20"/>
        </w:rPr>
        <w:t>30 juin</w:t>
      </w:r>
      <w:r w:rsidR="00305441">
        <w:rPr>
          <w:sz w:val="20"/>
          <w:szCs w:val="20"/>
        </w:rPr>
        <w:t xml:space="preserve"> 2014</w:t>
      </w:r>
      <w:r w:rsidR="008315DF">
        <w:rPr>
          <w:sz w:val="20"/>
          <w:szCs w:val="20"/>
        </w:rPr>
        <w:t>)</w:t>
      </w:r>
      <w:r w:rsidR="00E67E1F">
        <w:rPr>
          <w:sz w:val="20"/>
          <w:szCs w:val="20"/>
        </w:rPr>
        <w:t>,</w:t>
      </w:r>
      <w:r w:rsidR="00305441">
        <w:rPr>
          <w:sz w:val="20"/>
          <w:szCs w:val="20"/>
        </w:rPr>
        <w:t xml:space="preserve"> </w:t>
      </w:r>
      <w:r w:rsidR="00DF7A49">
        <w:rPr>
          <w:sz w:val="20"/>
          <w:szCs w:val="20"/>
        </w:rPr>
        <w:t>la</w:t>
      </w:r>
      <w:r w:rsidR="00305441">
        <w:rPr>
          <w:sz w:val="20"/>
          <w:szCs w:val="20"/>
        </w:rPr>
        <w:t xml:space="preserve"> progression </w:t>
      </w:r>
      <w:r w:rsidR="00DF7A49">
        <w:rPr>
          <w:sz w:val="20"/>
          <w:szCs w:val="20"/>
        </w:rPr>
        <w:t xml:space="preserve">portant </w:t>
      </w:r>
      <w:r w:rsidR="00305441">
        <w:rPr>
          <w:sz w:val="20"/>
          <w:szCs w:val="20"/>
        </w:rPr>
        <w:t xml:space="preserve">notamment sur les contrats haut de gamme. </w:t>
      </w:r>
    </w:p>
    <w:p w:rsidR="00305441" w:rsidRDefault="00305441" w:rsidP="00305441">
      <w:pPr>
        <w:pStyle w:val="Default"/>
        <w:rPr>
          <w:sz w:val="20"/>
          <w:szCs w:val="20"/>
        </w:rPr>
      </w:pPr>
    </w:p>
    <w:p w:rsidR="00305441" w:rsidRDefault="00305441" w:rsidP="00305441">
      <w:pPr>
        <w:pStyle w:val="Default"/>
        <w:rPr>
          <w:sz w:val="20"/>
          <w:szCs w:val="20"/>
        </w:rPr>
      </w:pPr>
    </w:p>
    <w:p w:rsidR="00305441" w:rsidRDefault="00305441" w:rsidP="00305441">
      <w:pPr>
        <w:pStyle w:val="Default"/>
        <w:rPr>
          <w:b/>
          <w:bCs/>
          <w:sz w:val="20"/>
          <w:szCs w:val="20"/>
        </w:rPr>
      </w:pPr>
      <w:r>
        <w:rPr>
          <w:b/>
          <w:bCs/>
          <w:sz w:val="20"/>
          <w:szCs w:val="20"/>
        </w:rPr>
        <w:t xml:space="preserve">BPCE IOM </w:t>
      </w:r>
    </w:p>
    <w:p w:rsidR="00EC482B" w:rsidRDefault="00EC482B" w:rsidP="00305441">
      <w:pPr>
        <w:pStyle w:val="Default"/>
        <w:rPr>
          <w:sz w:val="20"/>
          <w:szCs w:val="20"/>
        </w:rPr>
      </w:pPr>
    </w:p>
    <w:p w:rsidR="00305441" w:rsidRPr="00EC482B" w:rsidRDefault="00305441" w:rsidP="00885158">
      <w:pPr>
        <w:pStyle w:val="Default"/>
        <w:jc w:val="both"/>
        <w:rPr>
          <w:rFonts w:cs="Times New Roman"/>
          <w:i/>
          <w:color w:val="825D69" w:themeColor="text2"/>
          <w:spacing w:val="-4"/>
          <w:sz w:val="18"/>
          <w:szCs w:val="18"/>
        </w:rPr>
      </w:pPr>
      <w:r w:rsidRPr="00EC482B">
        <w:rPr>
          <w:rFonts w:cs="Times New Roman"/>
          <w:i/>
          <w:color w:val="825D69" w:themeColor="text2"/>
          <w:spacing w:val="-4"/>
          <w:sz w:val="18"/>
          <w:szCs w:val="18"/>
        </w:rPr>
        <w:t xml:space="preserve">BPCE International et Outre-mer (BPCE IOM) regroupe les filiales internationales et Outre-mer du Groupe BPCE hors Natixis. </w:t>
      </w:r>
    </w:p>
    <w:p w:rsidR="00305441" w:rsidRDefault="00305441" w:rsidP="00305441">
      <w:pPr>
        <w:pStyle w:val="Default"/>
        <w:rPr>
          <w:sz w:val="20"/>
          <w:szCs w:val="20"/>
        </w:rPr>
      </w:pPr>
    </w:p>
    <w:p w:rsidR="00EC482B" w:rsidRDefault="00EC482B" w:rsidP="00EC482B">
      <w:pPr>
        <w:pStyle w:val="2-TEXTECOURANTcommuniqu"/>
        <w:rPr>
          <w:color w:val="000000" w:themeColor="text1"/>
        </w:rPr>
      </w:pPr>
      <w:r w:rsidRPr="00073F9F">
        <w:rPr>
          <w:color w:val="000000" w:themeColor="text1"/>
        </w:rPr>
        <w:t xml:space="preserve">Les encours d’épargne de BPCE IOM affichent une croissance de </w:t>
      </w:r>
      <w:r>
        <w:rPr>
          <w:color w:val="000000" w:themeColor="text1"/>
        </w:rPr>
        <w:t>6,8</w:t>
      </w:r>
      <w:r w:rsidRPr="00073F9F">
        <w:rPr>
          <w:color w:val="000000" w:themeColor="text1"/>
        </w:rPr>
        <w:t xml:space="preserve"> %</w:t>
      </w:r>
      <w:r w:rsidR="006528FF">
        <w:rPr>
          <w:color w:val="000000" w:themeColor="text1"/>
        </w:rPr>
        <w:t xml:space="preserve"> sur un an</w:t>
      </w:r>
      <w:r w:rsidRPr="00073F9F">
        <w:rPr>
          <w:color w:val="000000" w:themeColor="text1"/>
        </w:rPr>
        <w:t xml:space="preserve">, s’établissant à </w:t>
      </w:r>
      <w:r>
        <w:rPr>
          <w:color w:val="000000" w:themeColor="text1"/>
        </w:rPr>
        <w:t>8,7 milliards d’euros au 30 juin</w:t>
      </w:r>
      <w:r w:rsidRPr="00073F9F">
        <w:rPr>
          <w:color w:val="000000" w:themeColor="text1"/>
        </w:rPr>
        <w:t xml:space="preserve"> 2015</w:t>
      </w:r>
      <w:r w:rsidR="00BD13D0">
        <w:rPr>
          <w:color w:val="000000" w:themeColor="text1"/>
        </w:rPr>
        <w:t xml:space="preserve">. Cette progression est </w:t>
      </w:r>
      <w:r w:rsidRPr="00073F9F">
        <w:rPr>
          <w:color w:val="000000" w:themeColor="text1"/>
        </w:rPr>
        <w:t>portée par l’épargne de bilan</w:t>
      </w:r>
      <w:r>
        <w:rPr>
          <w:color w:val="000000" w:themeColor="text1"/>
        </w:rPr>
        <w:t xml:space="preserve"> : + 10,2 % sur les dépôts à vue et </w:t>
      </w:r>
      <w:r w:rsidRPr="00073F9F">
        <w:rPr>
          <w:color w:val="000000" w:themeColor="text1"/>
        </w:rPr>
        <w:t>+</w:t>
      </w:r>
      <w:r>
        <w:rPr>
          <w:color w:val="000000" w:themeColor="text1"/>
        </w:rPr>
        <w:t> 6</w:t>
      </w:r>
      <w:r w:rsidRPr="00073F9F">
        <w:rPr>
          <w:color w:val="000000" w:themeColor="text1"/>
        </w:rPr>
        <w:t>,</w:t>
      </w:r>
      <w:r>
        <w:rPr>
          <w:color w:val="000000" w:themeColor="text1"/>
        </w:rPr>
        <w:t>3 </w:t>
      </w:r>
      <w:r w:rsidRPr="00073F9F">
        <w:rPr>
          <w:color w:val="000000" w:themeColor="text1"/>
        </w:rPr>
        <w:t>%</w:t>
      </w:r>
      <w:r>
        <w:rPr>
          <w:color w:val="000000" w:themeColor="text1"/>
        </w:rPr>
        <w:t xml:space="preserve"> sur les autres produits de bilan</w:t>
      </w:r>
      <w:r w:rsidRPr="00073F9F">
        <w:rPr>
          <w:color w:val="000000" w:themeColor="text1"/>
        </w:rPr>
        <w:t xml:space="preserve">. </w:t>
      </w:r>
      <w:r>
        <w:rPr>
          <w:color w:val="000000" w:themeColor="text1"/>
        </w:rPr>
        <w:t>L’</w:t>
      </w:r>
      <w:r w:rsidRPr="00073F9F">
        <w:rPr>
          <w:color w:val="000000" w:themeColor="text1"/>
        </w:rPr>
        <w:t xml:space="preserve">épargne </w:t>
      </w:r>
      <w:r>
        <w:rPr>
          <w:color w:val="000000" w:themeColor="text1"/>
        </w:rPr>
        <w:t>financière est en baisse de</w:t>
      </w:r>
      <w:r w:rsidRPr="00073F9F">
        <w:rPr>
          <w:color w:val="000000" w:themeColor="text1"/>
        </w:rPr>
        <w:t> 0,</w:t>
      </w:r>
      <w:r>
        <w:rPr>
          <w:color w:val="000000" w:themeColor="text1"/>
        </w:rPr>
        <w:t>6</w:t>
      </w:r>
      <w:r w:rsidRPr="00073F9F">
        <w:rPr>
          <w:color w:val="000000" w:themeColor="text1"/>
        </w:rPr>
        <w:t> % sur un an.</w:t>
      </w:r>
    </w:p>
    <w:p w:rsidR="00BD13D0" w:rsidRPr="00073F9F" w:rsidRDefault="00BD13D0" w:rsidP="00EC482B">
      <w:pPr>
        <w:pStyle w:val="2-TEXTECOURANTcommuniqu"/>
        <w:rPr>
          <w:color w:val="000000" w:themeColor="text1"/>
        </w:rPr>
      </w:pPr>
    </w:p>
    <w:p w:rsidR="006759A9" w:rsidRDefault="00EC482B" w:rsidP="00EC482B">
      <w:pPr>
        <w:pStyle w:val="2-TEXTECOURANTcommuniqu"/>
      </w:pPr>
      <w:r w:rsidRPr="00073F9F">
        <w:rPr>
          <w:color w:val="000000" w:themeColor="text1"/>
        </w:rPr>
        <w:t>Les encours de crédit</w:t>
      </w:r>
      <w:r>
        <w:rPr>
          <w:color w:val="000000" w:themeColor="text1"/>
        </w:rPr>
        <w:t>,</w:t>
      </w:r>
      <w:r w:rsidRPr="00073F9F">
        <w:rPr>
          <w:color w:val="000000" w:themeColor="text1"/>
        </w:rPr>
        <w:t xml:space="preserve"> à fin </w:t>
      </w:r>
      <w:r w:rsidR="006B3400">
        <w:rPr>
          <w:color w:val="000000" w:themeColor="text1"/>
        </w:rPr>
        <w:t>juin</w:t>
      </w:r>
      <w:r w:rsidRPr="00073F9F">
        <w:rPr>
          <w:color w:val="000000" w:themeColor="text1"/>
        </w:rPr>
        <w:t xml:space="preserve"> 2015</w:t>
      </w:r>
      <w:r>
        <w:rPr>
          <w:color w:val="000000" w:themeColor="text1"/>
        </w:rPr>
        <w:t>,</w:t>
      </w:r>
      <w:r w:rsidR="008C53DC">
        <w:rPr>
          <w:color w:val="000000" w:themeColor="text1"/>
        </w:rPr>
        <w:t xml:space="preserve"> sont en hausse de 5,5</w:t>
      </w:r>
      <w:r>
        <w:rPr>
          <w:color w:val="000000" w:themeColor="text1"/>
        </w:rPr>
        <w:t xml:space="preserve"> %</w:t>
      </w:r>
      <w:r w:rsidRPr="00073F9F">
        <w:rPr>
          <w:color w:val="000000" w:themeColor="text1"/>
        </w:rPr>
        <w:t xml:space="preserve"> </w:t>
      </w:r>
      <w:r w:rsidR="0095199A">
        <w:rPr>
          <w:color w:val="000000" w:themeColor="text1"/>
        </w:rPr>
        <w:t xml:space="preserve">sur un an glissant </w:t>
      </w:r>
      <w:r>
        <w:rPr>
          <w:color w:val="000000" w:themeColor="text1"/>
        </w:rPr>
        <w:t xml:space="preserve">et s’établissent </w:t>
      </w:r>
      <w:r w:rsidRPr="00073F9F">
        <w:rPr>
          <w:color w:val="000000" w:themeColor="text1"/>
        </w:rPr>
        <w:t xml:space="preserve">à 9,3 milliards d’euros. </w:t>
      </w:r>
      <w:r w:rsidR="008C53DC">
        <w:t xml:space="preserve">Sur le marché des particuliers, les </w:t>
      </w:r>
      <w:r w:rsidR="006759A9">
        <w:t xml:space="preserve">crédits sont en hausse de 6,1 % </w:t>
      </w:r>
      <w:r w:rsidR="008C53DC">
        <w:t xml:space="preserve">avec une forte progression des crédits immobiliers de 7,9 %. </w:t>
      </w:r>
    </w:p>
    <w:p w:rsidR="00EC482B" w:rsidRDefault="006759A9" w:rsidP="00EC482B">
      <w:pPr>
        <w:pStyle w:val="2-TEXTECOURANTcommuniqu"/>
        <w:rPr>
          <w:color w:val="000000" w:themeColor="text1"/>
        </w:rPr>
      </w:pPr>
      <w:r>
        <w:t>Sur le marché des entreprises</w:t>
      </w:r>
      <w:r>
        <w:rPr>
          <w:color w:val="000000" w:themeColor="text1"/>
        </w:rPr>
        <w:t xml:space="preserve">, </w:t>
      </w:r>
      <w:r w:rsidR="003C15F3">
        <w:rPr>
          <w:color w:val="000000" w:themeColor="text1"/>
        </w:rPr>
        <w:t xml:space="preserve">les </w:t>
      </w:r>
      <w:r w:rsidR="00C10A50">
        <w:rPr>
          <w:color w:val="000000" w:themeColor="text1"/>
        </w:rPr>
        <w:t xml:space="preserve">encours de </w:t>
      </w:r>
      <w:r w:rsidR="003C15F3">
        <w:rPr>
          <w:color w:val="000000" w:themeColor="text1"/>
        </w:rPr>
        <w:t xml:space="preserve">crédits </w:t>
      </w:r>
      <w:r w:rsidR="00C10A50">
        <w:rPr>
          <w:color w:val="000000" w:themeColor="text1"/>
        </w:rPr>
        <w:t xml:space="preserve">progressent </w:t>
      </w:r>
      <w:r w:rsidR="003C15F3">
        <w:rPr>
          <w:color w:val="000000" w:themeColor="text1"/>
        </w:rPr>
        <w:t xml:space="preserve">de 5,1 %. </w:t>
      </w:r>
    </w:p>
    <w:p w:rsidR="00C10A50" w:rsidRDefault="00C10A50" w:rsidP="00EC482B">
      <w:pPr>
        <w:pStyle w:val="2-TEXTECOURANTcommuniqu"/>
        <w:rPr>
          <w:color w:val="000000" w:themeColor="text1"/>
        </w:rPr>
      </w:pPr>
    </w:p>
    <w:p w:rsidR="00EC482B" w:rsidRPr="00073F9F" w:rsidRDefault="00EC482B" w:rsidP="00EC482B">
      <w:pPr>
        <w:pStyle w:val="2-TEXTECOURANTcommuniqu"/>
        <w:rPr>
          <w:color w:val="000000" w:themeColor="text1"/>
        </w:rPr>
      </w:pPr>
      <w:r>
        <w:rPr>
          <w:color w:val="000000" w:themeColor="text1"/>
        </w:rPr>
        <w:t xml:space="preserve">La contribution de BPCE IOM au </w:t>
      </w:r>
      <w:r w:rsidRPr="00C5647C">
        <w:rPr>
          <w:color w:val="000000" w:themeColor="text1"/>
        </w:rPr>
        <w:t xml:space="preserve">résultat avant impôt </w:t>
      </w:r>
      <w:r w:rsidR="00C5647C" w:rsidRPr="00C5647C">
        <w:rPr>
          <w:color w:val="000000" w:themeColor="text1"/>
        </w:rPr>
        <w:t>du</w:t>
      </w:r>
      <w:r w:rsidR="00C5647C">
        <w:rPr>
          <w:color w:val="000000" w:themeColor="text1"/>
        </w:rPr>
        <w:t xml:space="preserve"> Groupe BPCE </w:t>
      </w:r>
      <w:r w:rsidRPr="00166824">
        <w:t xml:space="preserve">retraité de l’impact de l’IFRIC 21, s’établit à </w:t>
      </w:r>
      <w:r w:rsidR="000C798A">
        <w:t>14</w:t>
      </w:r>
      <w:r w:rsidRPr="00166824">
        <w:t xml:space="preserve"> mill</w:t>
      </w:r>
      <w:r>
        <w:t xml:space="preserve">ions d’euros au </w:t>
      </w:r>
      <w:r w:rsidR="00C5647C">
        <w:t xml:space="preserve">deuxième trimestre 2015. </w:t>
      </w:r>
      <w:r w:rsidR="006C491B">
        <w:t xml:space="preserve">Le </w:t>
      </w:r>
      <w:r w:rsidR="006C491B" w:rsidRPr="00C5647C">
        <w:rPr>
          <w:color w:val="000000" w:themeColor="text1"/>
        </w:rPr>
        <w:t>résultat avant impôt</w:t>
      </w:r>
      <w:r w:rsidR="006C491B">
        <w:t xml:space="preserve"> </w:t>
      </w:r>
      <w:r w:rsidR="000C798A">
        <w:t>s’élève à 45</w:t>
      </w:r>
      <w:r w:rsidR="00C5647C">
        <w:t xml:space="preserve"> millions d’euros au premier semestre 2015.</w:t>
      </w:r>
    </w:p>
    <w:p w:rsidR="00305441" w:rsidRDefault="00305441" w:rsidP="00305441">
      <w:pPr>
        <w:pStyle w:val="Default"/>
        <w:rPr>
          <w:sz w:val="20"/>
          <w:szCs w:val="20"/>
        </w:rPr>
      </w:pPr>
    </w:p>
    <w:p w:rsidR="00305441" w:rsidRDefault="00305441" w:rsidP="00305441">
      <w:pPr>
        <w:pStyle w:val="Default"/>
        <w:rPr>
          <w:b/>
          <w:bCs/>
          <w:sz w:val="20"/>
          <w:szCs w:val="20"/>
        </w:rPr>
      </w:pPr>
      <w:r>
        <w:rPr>
          <w:b/>
          <w:bCs/>
          <w:sz w:val="20"/>
          <w:szCs w:val="20"/>
        </w:rPr>
        <w:t xml:space="preserve">Banque Palatine </w:t>
      </w:r>
    </w:p>
    <w:p w:rsidR="00305441" w:rsidRDefault="00305441" w:rsidP="00305441">
      <w:pPr>
        <w:pStyle w:val="Default"/>
        <w:rPr>
          <w:sz w:val="20"/>
          <w:szCs w:val="20"/>
        </w:rPr>
      </w:pPr>
    </w:p>
    <w:p w:rsidR="00814A23" w:rsidRPr="00073F9F" w:rsidRDefault="00814A23" w:rsidP="00814A23">
      <w:pPr>
        <w:pStyle w:val="2-TEXTECOURANTcommuniqu"/>
        <w:rPr>
          <w:color w:val="000000" w:themeColor="text1"/>
        </w:rPr>
      </w:pPr>
      <w:r w:rsidRPr="00073F9F">
        <w:rPr>
          <w:color w:val="000000" w:themeColor="text1"/>
        </w:rPr>
        <w:t xml:space="preserve">Au </w:t>
      </w:r>
      <w:r>
        <w:rPr>
          <w:color w:val="000000" w:themeColor="text1"/>
        </w:rPr>
        <w:t>30 juin 2015</w:t>
      </w:r>
      <w:r w:rsidRPr="00073F9F">
        <w:rPr>
          <w:color w:val="000000" w:themeColor="text1"/>
        </w:rPr>
        <w:t xml:space="preserve">, </w:t>
      </w:r>
      <w:r>
        <w:t>les encours d’épargne</w:t>
      </w:r>
      <w:r w:rsidR="000C798A">
        <w:rPr>
          <w:rStyle w:val="Appelnotedebasdep"/>
        </w:rPr>
        <w:footnoteReference w:id="25"/>
      </w:r>
      <w:r>
        <w:t xml:space="preserve"> de la Banque Palatine sont</w:t>
      </w:r>
      <w:r w:rsidR="00C069AF">
        <w:t xml:space="preserve"> stables et s’établissent à 16,9 </w:t>
      </w:r>
      <w:r>
        <w:t>milliards d’euros.</w:t>
      </w:r>
      <w:r w:rsidRPr="00073F9F">
        <w:rPr>
          <w:color w:val="000000" w:themeColor="text1"/>
        </w:rPr>
        <w:t xml:space="preserve"> L’épargne de bilan a progressé de </w:t>
      </w:r>
      <w:r w:rsidR="0002466C">
        <w:rPr>
          <w:color w:val="000000" w:themeColor="text1"/>
        </w:rPr>
        <w:t>5,4</w:t>
      </w:r>
      <w:r w:rsidRPr="00073F9F">
        <w:rPr>
          <w:color w:val="000000" w:themeColor="text1"/>
        </w:rPr>
        <w:t xml:space="preserve"> %, </w:t>
      </w:r>
      <w:r w:rsidR="00BC4BB7">
        <w:rPr>
          <w:color w:val="000000" w:themeColor="text1"/>
        </w:rPr>
        <w:t>au détriment de l’épargne financière, en baisse de 11,4 %.</w:t>
      </w:r>
    </w:p>
    <w:p w:rsidR="00814A23" w:rsidRPr="00073F9F" w:rsidRDefault="00BC36A4" w:rsidP="00814A23">
      <w:pPr>
        <w:pStyle w:val="2-TEXTECOURANTcommuniqu"/>
        <w:rPr>
          <w:color w:val="000000" w:themeColor="text1"/>
        </w:rPr>
      </w:pPr>
      <w:r>
        <w:rPr>
          <w:color w:val="000000" w:themeColor="text1"/>
        </w:rPr>
        <w:t>La hausse des encours d’épargne de bilan est portée par l</w:t>
      </w:r>
      <w:r w:rsidR="00814A23" w:rsidRPr="00073F9F">
        <w:rPr>
          <w:color w:val="000000" w:themeColor="text1"/>
        </w:rPr>
        <w:t xml:space="preserve">e marché des entreprises (+ </w:t>
      </w:r>
      <w:r w:rsidR="00FC2825">
        <w:rPr>
          <w:color w:val="000000" w:themeColor="text1"/>
        </w:rPr>
        <w:t>5</w:t>
      </w:r>
      <w:r w:rsidR="00814A23" w:rsidRPr="00073F9F">
        <w:rPr>
          <w:color w:val="000000" w:themeColor="text1"/>
        </w:rPr>
        <w:t>,</w:t>
      </w:r>
      <w:r w:rsidR="00FC2825">
        <w:rPr>
          <w:color w:val="000000" w:themeColor="text1"/>
        </w:rPr>
        <w:t>8</w:t>
      </w:r>
      <w:r w:rsidR="00814A23" w:rsidRPr="00073F9F">
        <w:rPr>
          <w:color w:val="000000" w:themeColor="text1"/>
        </w:rPr>
        <w:t xml:space="preserve"> %).</w:t>
      </w:r>
      <w:r w:rsidR="00814A23" w:rsidRPr="00073F9F">
        <w:rPr>
          <w:color w:val="000000" w:themeColor="text1"/>
        </w:rPr>
        <w:tab/>
      </w:r>
      <w:r w:rsidR="00707D42">
        <w:rPr>
          <w:color w:val="000000" w:themeColor="text1"/>
        </w:rPr>
        <w:t xml:space="preserve"> </w:t>
      </w:r>
      <w:r>
        <w:rPr>
          <w:color w:val="000000" w:themeColor="text1"/>
        </w:rPr>
        <w:t>Les encours de la</w:t>
      </w:r>
      <w:r w:rsidR="00814A23" w:rsidRPr="00073F9F">
        <w:rPr>
          <w:color w:val="000000" w:themeColor="text1"/>
        </w:rPr>
        <w:t xml:space="preserve"> clientèle privée bénéficie</w:t>
      </w:r>
      <w:r>
        <w:rPr>
          <w:color w:val="000000" w:themeColor="text1"/>
        </w:rPr>
        <w:t>nt</w:t>
      </w:r>
      <w:r w:rsidR="00814A23" w:rsidRPr="00073F9F">
        <w:rPr>
          <w:color w:val="000000" w:themeColor="text1"/>
        </w:rPr>
        <w:t xml:space="preserve"> d’une dynamique favorable tant pour l’épargne financière (+ </w:t>
      </w:r>
      <w:r w:rsidR="00FC2825">
        <w:rPr>
          <w:color w:val="000000" w:themeColor="text1"/>
        </w:rPr>
        <w:t>1</w:t>
      </w:r>
      <w:r w:rsidR="00814A23" w:rsidRPr="00073F9F">
        <w:rPr>
          <w:color w:val="000000" w:themeColor="text1"/>
        </w:rPr>
        <w:t>,</w:t>
      </w:r>
      <w:r w:rsidR="00FC2825">
        <w:rPr>
          <w:color w:val="000000" w:themeColor="text1"/>
        </w:rPr>
        <w:t>3 %) que bilancielle (+ 2</w:t>
      </w:r>
      <w:r w:rsidR="00814A23" w:rsidRPr="00073F9F">
        <w:rPr>
          <w:color w:val="000000" w:themeColor="text1"/>
        </w:rPr>
        <w:t>,</w:t>
      </w:r>
      <w:r w:rsidR="00FC2825">
        <w:rPr>
          <w:color w:val="000000" w:themeColor="text1"/>
        </w:rPr>
        <w:t>7</w:t>
      </w:r>
      <w:r w:rsidR="00814A23" w:rsidRPr="00073F9F">
        <w:rPr>
          <w:color w:val="000000" w:themeColor="text1"/>
        </w:rPr>
        <w:t> %).</w:t>
      </w:r>
    </w:p>
    <w:p w:rsidR="00814A23" w:rsidRPr="00073F9F" w:rsidRDefault="00814A23" w:rsidP="00814A23">
      <w:pPr>
        <w:pStyle w:val="2-TEXTECOURANTcommuniqu"/>
        <w:rPr>
          <w:color w:val="000000" w:themeColor="text1"/>
        </w:rPr>
      </w:pPr>
    </w:p>
    <w:p w:rsidR="00814A23" w:rsidRPr="00073F9F" w:rsidRDefault="00814A23" w:rsidP="00814A23">
      <w:pPr>
        <w:rPr>
          <w:color w:val="000000" w:themeColor="text1"/>
        </w:rPr>
      </w:pPr>
      <w:r w:rsidRPr="00E660C9">
        <w:rPr>
          <w:color w:val="000000" w:themeColor="text1"/>
          <w:sz w:val="20"/>
          <w:szCs w:val="20"/>
        </w:rPr>
        <w:t>Les encours de crédit</w:t>
      </w:r>
      <w:r w:rsidR="00E864BB">
        <w:rPr>
          <w:rStyle w:val="Appelnotedebasdep"/>
          <w:color w:val="000000" w:themeColor="text1"/>
          <w:sz w:val="20"/>
          <w:szCs w:val="20"/>
        </w:rPr>
        <w:footnoteReference w:id="26"/>
      </w:r>
      <w:r w:rsidRPr="00E660C9">
        <w:rPr>
          <w:color w:val="000000" w:themeColor="text1"/>
          <w:sz w:val="20"/>
          <w:szCs w:val="20"/>
        </w:rPr>
        <w:t xml:space="preserve">, en hausse de </w:t>
      </w:r>
      <w:r w:rsidR="007316B3">
        <w:rPr>
          <w:color w:val="000000" w:themeColor="text1"/>
          <w:sz w:val="20"/>
          <w:szCs w:val="20"/>
        </w:rPr>
        <w:t>6</w:t>
      </w:r>
      <w:r w:rsidRPr="00E660C9">
        <w:rPr>
          <w:color w:val="000000" w:themeColor="text1"/>
          <w:sz w:val="20"/>
          <w:szCs w:val="20"/>
        </w:rPr>
        <w:t>,</w:t>
      </w:r>
      <w:r w:rsidR="007316B3">
        <w:rPr>
          <w:color w:val="000000" w:themeColor="text1"/>
          <w:sz w:val="20"/>
          <w:szCs w:val="20"/>
        </w:rPr>
        <w:t>5</w:t>
      </w:r>
      <w:r w:rsidRPr="00E660C9">
        <w:rPr>
          <w:color w:val="000000" w:themeColor="text1"/>
          <w:sz w:val="20"/>
          <w:szCs w:val="20"/>
        </w:rPr>
        <w:t> %, s’élèvent</w:t>
      </w:r>
      <w:r w:rsidR="007316B3">
        <w:rPr>
          <w:color w:val="000000" w:themeColor="text1"/>
          <w:sz w:val="20"/>
          <w:szCs w:val="20"/>
        </w:rPr>
        <w:t xml:space="preserve"> à 7,9</w:t>
      </w:r>
      <w:r w:rsidRPr="00E660C9">
        <w:rPr>
          <w:color w:val="000000" w:themeColor="text1"/>
          <w:sz w:val="20"/>
          <w:szCs w:val="20"/>
        </w:rPr>
        <w:t xml:space="preserve"> milliards d’euros. Reflétant le dynamisme de la production des crédits moyen-long terme, les encours de crédit aux entreprises progressent</w:t>
      </w:r>
      <w:r w:rsidR="007316B3">
        <w:rPr>
          <w:color w:val="000000" w:themeColor="text1"/>
          <w:sz w:val="20"/>
          <w:szCs w:val="20"/>
        </w:rPr>
        <w:t xml:space="preserve"> de </w:t>
      </w:r>
      <w:r w:rsidRPr="00E660C9">
        <w:rPr>
          <w:color w:val="000000" w:themeColor="text1"/>
          <w:sz w:val="20"/>
          <w:szCs w:val="20"/>
        </w:rPr>
        <w:t>9</w:t>
      </w:r>
      <w:r w:rsidR="007316B3">
        <w:rPr>
          <w:color w:val="000000" w:themeColor="text1"/>
          <w:sz w:val="20"/>
          <w:szCs w:val="20"/>
        </w:rPr>
        <w:t>,3 </w:t>
      </w:r>
      <w:r w:rsidRPr="00E660C9">
        <w:rPr>
          <w:color w:val="000000" w:themeColor="text1"/>
          <w:sz w:val="20"/>
          <w:szCs w:val="20"/>
        </w:rPr>
        <w:t xml:space="preserve">% sur un an. </w:t>
      </w:r>
      <w:r w:rsidR="00BC36A4">
        <w:rPr>
          <w:color w:val="000000" w:themeColor="text1"/>
          <w:sz w:val="20"/>
          <w:szCs w:val="20"/>
        </w:rPr>
        <w:t xml:space="preserve">Sur la clientèle privée, </w:t>
      </w:r>
      <w:r w:rsidR="00BC36A4" w:rsidRPr="00E660C9">
        <w:rPr>
          <w:sz w:val="20"/>
          <w:szCs w:val="20"/>
        </w:rPr>
        <w:t>le recul des encours</w:t>
      </w:r>
      <w:r w:rsidR="0028677A">
        <w:rPr>
          <w:sz w:val="20"/>
          <w:szCs w:val="20"/>
        </w:rPr>
        <w:t>, de 4</w:t>
      </w:r>
      <w:r w:rsidR="00D02C80">
        <w:rPr>
          <w:sz w:val="20"/>
          <w:szCs w:val="20"/>
        </w:rPr>
        <w:t>,3</w:t>
      </w:r>
      <w:r w:rsidR="0028677A">
        <w:rPr>
          <w:sz w:val="20"/>
          <w:szCs w:val="20"/>
        </w:rPr>
        <w:t> %,</w:t>
      </w:r>
      <w:r w:rsidR="00BC36A4">
        <w:rPr>
          <w:sz w:val="20"/>
          <w:szCs w:val="20"/>
        </w:rPr>
        <w:t xml:space="preserve"> a été </w:t>
      </w:r>
      <w:r w:rsidRPr="00E660C9">
        <w:rPr>
          <w:sz w:val="20"/>
          <w:szCs w:val="20"/>
        </w:rPr>
        <w:t>limit</w:t>
      </w:r>
      <w:r w:rsidR="00BC36A4">
        <w:rPr>
          <w:sz w:val="20"/>
          <w:szCs w:val="20"/>
        </w:rPr>
        <w:t>é</w:t>
      </w:r>
      <w:r w:rsidRPr="00E660C9">
        <w:rPr>
          <w:sz w:val="20"/>
          <w:szCs w:val="20"/>
        </w:rPr>
        <w:t xml:space="preserve"> </w:t>
      </w:r>
      <w:r w:rsidR="00BC36A4">
        <w:rPr>
          <w:sz w:val="20"/>
          <w:szCs w:val="20"/>
        </w:rPr>
        <w:t>par le niveau de production du premier semestre 2015.</w:t>
      </w:r>
    </w:p>
    <w:p w:rsidR="00814A23" w:rsidRPr="00073F9F" w:rsidRDefault="00814A23" w:rsidP="00814A23">
      <w:pPr>
        <w:pStyle w:val="2-TEXTECOURANTcommuniqu"/>
        <w:rPr>
          <w:color w:val="000000" w:themeColor="text1"/>
        </w:rPr>
      </w:pPr>
    </w:p>
    <w:p w:rsidR="00A72198" w:rsidRDefault="00814A23" w:rsidP="00D16A83">
      <w:pPr>
        <w:pStyle w:val="2-TEXTECOURANTcommuniqu"/>
      </w:pPr>
      <w:r w:rsidRPr="00F202AE">
        <w:rPr>
          <w:color w:val="000000" w:themeColor="text1"/>
          <w:spacing w:val="0"/>
        </w:rPr>
        <w:t xml:space="preserve">La contribution de Banque Palatine au résultat avant impôt </w:t>
      </w:r>
      <w:r w:rsidR="007316B3" w:rsidRPr="00F202AE">
        <w:rPr>
          <w:color w:val="000000" w:themeColor="text1"/>
          <w:spacing w:val="0"/>
        </w:rPr>
        <w:t xml:space="preserve">du Groupe BPCE </w:t>
      </w:r>
      <w:r w:rsidRPr="00F202AE">
        <w:rPr>
          <w:spacing w:val="0"/>
        </w:rPr>
        <w:t>retraité de l’impa</w:t>
      </w:r>
      <w:r w:rsidR="00B166FF" w:rsidRPr="00F202AE">
        <w:rPr>
          <w:spacing w:val="0"/>
        </w:rPr>
        <w:t>ct de l’IFRIC 21, s’établit à 25</w:t>
      </w:r>
      <w:r w:rsidR="00B07878" w:rsidRPr="00F202AE">
        <w:rPr>
          <w:spacing w:val="0"/>
        </w:rPr>
        <w:t xml:space="preserve"> millions d’euros au deuxième trimestre </w:t>
      </w:r>
      <w:r w:rsidRPr="00F202AE">
        <w:rPr>
          <w:spacing w:val="0"/>
        </w:rPr>
        <w:t>2015</w:t>
      </w:r>
      <w:r w:rsidR="00A5791F" w:rsidRPr="00F202AE">
        <w:rPr>
          <w:spacing w:val="0"/>
        </w:rPr>
        <w:t xml:space="preserve">, soit une </w:t>
      </w:r>
      <w:r w:rsidR="00D02C80">
        <w:rPr>
          <w:spacing w:val="0"/>
        </w:rPr>
        <w:t>hausse de 9</w:t>
      </w:r>
      <w:r w:rsidR="00B166FF" w:rsidRPr="00F202AE">
        <w:rPr>
          <w:spacing w:val="0"/>
        </w:rPr>
        <w:t>,</w:t>
      </w:r>
      <w:r w:rsidR="00D02C80">
        <w:rPr>
          <w:spacing w:val="0"/>
        </w:rPr>
        <w:t>5</w:t>
      </w:r>
      <w:r w:rsidR="00A5791F" w:rsidRPr="00F202AE">
        <w:rPr>
          <w:spacing w:val="0"/>
        </w:rPr>
        <w:t> %</w:t>
      </w:r>
      <w:r w:rsidRPr="00F202AE">
        <w:rPr>
          <w:spacing w:val="0"/>
        </w:rPr>
        <w:t>.</w:t>
      </w:r>
      <w:r w:rsidR="006C491B" w:rsidRPr="00F202AE">
        <w:rPr>
          <w:spacing w:val="0"/>
        </w:rPr>
        <w:t xml:space="preserve"> Le </w:t>
      </w:r>
      <w:r w:rsidR="006C491B" w:rsidRPr="00F202AE">
        <w:rPr>
          <w:color w:val="000000" w:themeColor="text1"/>
          <w:spacing w:val="0"/>
        </w:rPr>
        <w:t>résultat avant impôt</w:t>
      </w:r>
      <w:r w:rsidR="006C491B" w:rsidRPr="00F202AE">
        <w:rPr>
          <w:spacing w:val="0"/>
        </w:rPr>
        <w:t xml:space="preserve"> s’élève à 4</w:t>
      </w:r>
      <w:r w:rsidR="00B166FF" w:rsidRPr="00F202AE">
        <w:rPr>
          <w:spacing w:val="0"/>
        </w:rPr>
        <w:t>6</w:t>
      </w:r>
      <w:r w:rsidR="006C491B" w:rsidRPr="00F202AE">
        <w:rPr>
          <w:spacing w:val="0"/>
        </w:rPr>
        <w:t xml:space="preserve"> millions d’euros au premier semestre 2015</w:t>
      </w:r>
      <w:r w:rsidR="00B166FF" w:rsidRPr="00F202AE">
        <w:rPr>
          <w:spacing w:val="0"/>
        </w:rPr>
        <w:t>, soit une hausse de 6,7 %</w:t>
      </w:r>
      <w:r w:rsidR="006C491B" w:rsidRPr="00F202AE">
        <w:rPr>
          <w:spacing w:val="0"/>
        </w:rPr>
        <w:t>.</w:t>
      </w:r>
      <w:r w:rsidR="00A72198">
        <w:br w:type="page"/>
      </w:r>
    </w:p>
    <w:p w:rsidR="004E1CF2" w:rsidRDefault="00900747" w:rsidP="004E1CF2">
      <w:pPr>
        <w:pStyle w:val="3-Titre2"/>
      </w:pPr>
      <w:r>
        <w:rPr>
          <w:rStyle w:val="orange"/>
        </w:rPr>
        <w:lastRenderedPageBreak/>
        <w:t>3</w:t>
      </w:r>
      <w:r w:rsidRPr="00A72198">
        <w:rPr>
          <w:rStyle w:val="orange"/>
        </w:rPr>
        <w:t>.2</w:t>
      </w:r>
      <w:r w:rsidRPr="00A72198">
        <w:rPr>
          <w:rStyle w:val="orange"/>
        </w:rPr>
        <w:tab/>
      </w:r>
      <w:r w:rsidR="0020328D">
        <w:t xml:space="preserve">Métiers cœurs de </w:t>
      </w:r>
      <w:proofErr w:type="gramStart"/>
      <w:r w:rsidR="0020328D">
        <w:t>Natixis</w:t>
      </w:r>
      <w:r w:rsidR="00F84074">
        <w:t xml:space="preserve"> </w:t>
      </w:r>
      <w:proofErr w:type="gramEnd"/>
      <w:r w:rsidR="0020328D">
        <w:rPr>
          <w:rStyle w:val="Appelnotedebasdep"/>
        </w:rPr>
        <w:footnoteReference w:id="27"/>
      </w:r>
      <w:r w:rsidR="0020328D" w:rsidRPr="008F30AB">
        <w:rPr>
          <w:vertAlign w:val="superscript"/>
        </w:rPr>
        <w:t>,</w:t>
      </w:r>
      <w:r w:rsidR="0020328D">
        <w:rPr>
          <w:rStyle w:val="Appelnotedebasdep"/>
        </w:rPr>
        <w:footnoteReference w:id="28"/>
      </w:r>
      <w:r w:rsidR="0020328D">
        <w:rPr>
          <w:vertAlign w:val="superscript"/>
        </w:rPr>
        <w:t>,</w:t>
      </w:r>
      <w:bookmarkStart w:id="15" w:name="_Ref425782649"/>
      <w:r w:rsidR="0020328D">
        <w:rPr>
          <w:rStyle w:val="Appelnotedebasdep"/>
        </w:rPr>
        <w:footnoteReference w:id="29"/>
      </w:r>
      <w:bookmarkEnd w:id="15"/>
      <w:r w:rsidR="0020328D" w:rsidRPr="0020328D">
        <w:rPr>
          <w:rStyle w:val="orange"/>
          <w:color w:val="581D74" w:themeColor="accent1"/>
        </w:rPr>
        <w:t xml:space="preserve">: </w:t>
      </w:r>
      <w:r w:rsidR="004E1CF2">
        <w:t>Banque de Grande Clientèle, Épargne et Services Financiers Spécialisés : rentabilité en hausse au premier semestre 2015</w:t>
      </w:r>
    </w:p>
    <w:p w:rsidR="004E1CF2" w:rsidRPr="004828AB" w:rsidRDefault="004E1CF2" w:rsidP="004E1CF2">
      <w:pPr>
        <w:pStyle w:val="2-TEXTECOURANTcommuniqu"/>
      </w:pPr>
      <w:r w:rsidRPr="004828AB">
        <w:t xml:space="preserve">Le </w:t>
      </w:r>
      <w:r w:rsidRPr="004828AB">
        <w:rPr>
          <w:rStyle w:val="lev"/>
        </w:rPr>
        <w:t>produit net bancaire</w:t>
      </w:r>
      <w:r w:rsidRPr="004828AB">
        <w:t xml:space="preserve"> des métiers cœurs de Natixis (Banque de Grande Clientèle, Épargne et Services Financiers Spécialisés) s’établit à 2 023 millions d’euros au deuxième trimestre 2015, en hausse de 10,5 % par rapport au deuxième trimestre 2014. </w:t>
      </w:r>
      <w:r>
        <w:t>Il s’élève à 3 976 millions d’euros à la fin du premier semestre 2015, en hausse de 12,8 % par rapport au premier semestre 2014.</w:t>
      </w:r>
    </w:p>
    <w:p w:rsidR="004E1CF2" w:rsidRPr="00FD1FEC" w:rsidRDefault="004E1CF2" w:rsidP="004E1CF2">
      <w:pPr>
        <w:pStyle w:val="2-TEXTECOURANTcommuniqu"/>
        <w:rPr>
          <w:color w:val="FF0000"/>
        </w:rPr>
      </w:pPr>
    </w:p>
    <w:p w:rsidR="004E1CF2" w:rsidRPr="00FD1FEC" w:rsidRDefault="004E1CF2" w:rsidP="004E1CF2">
      <w:pPr>
        <w:pStyle w:val="2-TEXTECOURANTcommuniqu"/>
        <w:rPr>
          <w:color w:val="FF0000"/>
        </w:rPr>
      </w:pPr>
      <w:r w:rsidRPr="002D06FC">
        <w:t xml:space="preserve">Les </w:t>
      </w:r>
      <w:r w:rsidRPr="002D06FC">
        <w:rPr>
          <w:rStyle w:val="lev"/>
        </w:rPr>
        <w:t>frais de gestion</w:t>
      </w:r>
      <w:r w:rsidRPr="002D06FC">
        <w:t xml:space="preserve"> des métiers cœurs de Natixis, à 1 244 millions d’euros au deuxième trimestre 2015, sont en hausse </w:t>
      </w:r>
      <w:r w:rsidRPr="00191D49">
        <w:t xml:space="preserve">de 11,3 % </w:t>
      </w:r>
      <w:r w:rsidR="00250E2C">
        <w:t>sur un an</w:t>
      </w:r>
      <w:r w:rsidRPr="00191D49">
        <w:t xml:space="preserve">. Ils s’élèvent à </w:t>
      </w:r>
      <w:r>
        <w:t xml:space="preserve">2 536 millions d’euros à la fin du premier semestre 2015, en hausse de 11,6 % </w:t>
      </w:r>
      <w:r w:rsidR="00250E2C">
        <w:t>sur un an</w:t>
      </w:r>
      <w:r>
        <w:t>.</w:t>
      </w:r>
    </w:p>
    <w:p w:rsidR="004E1CF2" w:rsidRPr="00FD1FEC" w:rsidRDefault="004E1CF2" w:rsidP="004E1CF2">
      <w:pPr>
        <w:pStyle w:val="2-TEXTECOURANTcommuniqu"/>
        <w:rPr>
          <w:color w:val="FF0000"/>
        </w:rPr>
      </w:pPr>
    </w:p>
    <w:p w:rsidR="004E1CF2" w:rsidRPr="00216C87" w:rsidRDefault="004E1CF2" w:rsidP="004E1CF2">
      <w:pPr>
        <w:pStyle w:val="2-TEXTECOURANTcommuniqu"/>
      </w:pPr>
      <w:r w:rsidRPr="00216C87">
        <w:t xml:space="preserve">Le </w:t>
      </w:r>
      <w:r w:rsidRPr="00216C87">
        <w:rPr>
          <w:rStyle w:val="lev"/>
        </w:rPr>
        <w:t>résultat brut d’exploitation (RBE)</w:t>
      </w:r>
      <w:r w:rsidRPr="00216C87">
        <w:t xml:space="preserve"> des métiers cœurs de Natixis s’élève à 779 millions d’euros au deuxième trimestre 2015, soit une augmentation de 9,3 % </w:t>
      </w:r>
      <w:r w:rsidR="00250E2C">
        <w:t>sur un an</w:t>
      </w:r>
      <w:r w:rsidRPr="00216C87">
        <w:t>.</w:t>
      </w:r>
      <w:r>
        <w:t xml:space="preserve"> Il ressort à 1</w:t>
      </w:r>
      <w:r w:rsidR="00990924">
        <w:t> </w:t>
      </w:r>
      <w:r>
        <w:t>440</w:t>
      </w:r>
      <w:r w:rsidR="00990924">
        <w:t> </w:t>
      </w:r>
      <w:r>
        <w:t xml:space="preserve">millions d’euros à la fin du premier semestre 2015, en hausse de 15,1 % </w:t>
      </w:r>
      <w:r w:rsidR="00250E2C">
        <w:t>sur un an</w:t>
      </w:r>
      <w:r>
        <w:t>.</w:t>
      </w:r>
    </w:p>
    <w:p w:rsidR="004E1CF2" w:rsidRPr="00FD1FEC" w:rsidRDefault="004E1CF2" w:rsidP="004E1CF2">
      <w:pPr>
        <w:pStyle w:val="2-TEXTECOURANTcommuniqu"/>
        <w:rPr>
          <w:color w:val="FF0000"/>
        </w:rPr>
      </w:pPr>
    </w:p>
    <w:p w:rsidR="004E1CF2" w:rsidRPr="0082797F" w:rsidRDefault="004E1CF2" w:rsidP="004E1CF2">
      <w:pPr>
        <w:pStyle w:val="2-TEXTECOURANTcommuniqu"/>
      </w:pPr>
      <w:r w:rsidRPr="0082797F">
        <w:t xml:space="preserve">Le </w:t>
      </w:r>
      <w:r w:rsidRPr="0082797F">
        <w:rPr>
          <w:rStyle w:val="lev"/>
        </w:rPr>
        <w:t>coût du risque</w:t>
      </w:r>
      <w:r w:rsidRPr="0082797F">
        <w:t xml:space="preserve"> des métiers cœurs de Natixis baisse de 21,9 %</w:t>
      </w:r>
      <w:r w:rsidR="009C31DD">
        <w:t xml:space="preserve"> au</w:t>
      </w:r>
      <w:r w:rsidR="009C31DD" w:rsidRPr="0082797F">
        <w:t xml:space="preserve"> </w:t>
      </w:r>
      <w:r w:rsidR="009C31DD">
        <w:t>deuxième</w:t>
      </w:r>
      <w:r w:rsidR="009C31DD" w:rsidRPr="0082797F">
        <w:t xml:space="preserve"> trimestre 2015</w:t>
      </w:r>
      <w:r w:rsidRPr="0082797F">
        <w:t xml:space="preserve"> </w:t>
      </w:r>
      <w:r w:rsidR="009F278B">
        <w:t xml:space="preserve">et s’établit à </w:t>
      </w:r>
      <w:r w:rsidRPr="0082797F">
        <w:t>59 millions d’euros.</w:t>
      </w:r>
      <w:r w:rsidRPr="00191D49">
        <w:t xml:space="preserve"> </w:t>
      </w:r>
      <w:r>
        <w:t xml:space="preserve">Celui du premier semestre 2015 </w:t>
      </w:r>
      <w:proofErr w:type="gramStart"/>
      <w:r>
        <w:t>ressort</w:t>
      </w:r>
      <w:proofErr w:type="gramEnd"/>
      <w:r>
        <w:t xml:space="preserve"> en baisse de 4,2</w:t>
      </w:r>
      <w:r w:rsidR="009C31DD">
        <w:t> %</w:t>
      </w:r>
      <w:r>
        <w:t> </w:t>
      </w:r>
      <w:r w:rsidR="001B6129">
        <w:t xml:space="preserve">sur un an </w:t>
      </w:r>
      <w:r>
        <w:t>à 140</w:t>
      </w:r>
      <w:r w:rsidR="00F65589">
        <w:t> </w:t>
      </w:r>
      <w:r>
        <w:t>millions d’euros.</w:t>
      </w:r>
    </w:p>
    <w:p w:rsidR="004E1CF2" w:rsidRPr="00FD1FEC" w:rsidRDefault="004E1CF2" w:rsidP="004E1CF2">
      <w:pPr>
        <w:pStyle w:val="2-TEXTECOURANTcommuniqu"/>
        <w:rPr>
          <w:color w:val="FF0000"/>
        </w:rPr>
      </w:pPr>
    </w:p>
    <w:p w:rsidR="004E1CF2" w:rsidRPr="007A0BD2" w:rsidRDefault="004E1CF2" w:rsidP="004E1CF2">
      <w:pPr>
        <w:pStyle w:val="2-TEXTECOURANTcommuniqu"/>
      </w:pPr>
      <w:r w:rsidRPr="007A0BD2">
        <w:t xml:space="preserve">Le </w:t>
      </w:r>
      <w:r w:rsidRPr="007A0BD2">
        <w:rPr>
          <w:rStyle w:val="lev"/>
        </w:rPr>
        <w:t>résultat avant impôt</w:t>
      </w:r>
      <w:r w:rsidRPr="007A0BD2">
        <w:t xml:space="preserve"> des méti</w:t>
      </w:r>
      <w:r w:rsidR="001C14E4">
        <w:t xml:space="preserve">ers cœurs de Natixis s’établit au </w:t>
      </w:r>
      <w:r>
        <w:t>deuxième</w:t>
      </w:r>
      <w:r w:rsidR="00417774">
        <w:t xml:space="preserve"> trimestre 2015</w:t>
      </w:r>
      <w:r w:rsidRPr="007A0BD2">
        <w:t xml:space="preserve"> à 732 millions d’euros, soit une hausse de 15,0 % sur un an. </w:t>
      </w:r>
      <w:r>
        <w:t xml:space="preserve">Il s’élève à 1 322 millions d’euros </w:t>
      </w:r>
      <w:r w:rsidR="00417774">
        <w:t>au</w:t>
      </w:r>
      <w:r>
        <w:t xml:space="preserve"> premier semestre 2015, en hausse de 18,5 % </w:t>
      </w:r>
      <w:r w:rsidR="001B6129">
        <w:t>sur un an</w:t>
      </w:r>
      <w:r>
        <w:t>.</w:t>
      </w:r>
    </w:p>
    <w:p w:rsidR="004E1CF2" w:rsidRPr="00FD1FEC" w:rsidRDefault="004E1CF2" w:rsidP="004E1CF2">
      <w:pPr>
        <w:pStyle w:val="2-TEXTECOURANTcommuniqu"/>
        <w:rPr>
          <w:color w:val="FF0000"/>
        </w:rPr>
      </w:pPr>
    </w:p>
    <w:p w:rsidR="004E1CF2" w:rsidRPr="00A50B9F" w:rsidRDefault="004E1CF2" w:rsidP="004E1CF2">
      <w:pPr>
        <w:pStyle w:val="2-TEXTECOURANTcommuniqu"/>
      </w:pPr>
      <w:r w:rsidRPr="00A50B9F">
        <w:t>Retraité de l’impact de l’IFRIC 21,</w:t>
      </w:r>
      <w:r w:rsidRPr="00A50B9F">
        <w:rPr>
          <w:b/>
        </w:rPr>
        <w:t xml:space="preserve"> le résultat avant impôt </w:t>
      </w:r>
      <w:r w:rsidRPr="00A50B9F">
        <w:t xml:space="preserve">s’établit à 714 millions d’euros, en progression de 15,4 % par rapport au </w:t>
      </w:r>
      <w:r>
        <w:t>deuxième</w:t>
      </w:r>
      <w:r w:rsidRPr="00A50B9F">
        <w:t xml:space="preserve"> trimestre 2014.</w:t>
      </w:r>
      <w:r>
        <w:t xml:space="preserve"> Il s’élève à 1 357 millions d’euros au premier semestre 2015, soit une augmentation de 17,6 %</w:t>
      </w:r>
      <w:r w:rsidR="00953579">
        <w:t xml:space="preserve"> sur un an</w:t>
      </w:r>
      <w:r>
        <w:t>.</w:t>
      </w:r>
    </w:p>
    <w:p w:rsidR="004E1CF2" w:rsidRDefault="004E1CF2" w:rsidP="004E1CF2">
      <w:pPr>
        <w:pStyle w:val="6-LISTEPUCE"/>
        <w:numPr>
          <w:ilvl w:val="0"/>
          <w:numId w:val="0"/>
        </w:numPr>
        <w:ind w:left="720"/>
        <w:rPr>
          <w:color w:val="FF0000"/>
        </w:rPr>
      </w:pPr>
    </w:p>
    <w:p w:rsidR="00900747" w:rsidRPr="00FD1FEC" w:rsidRDefault="00900747" w:rsidP="00900747">
      <w:pPr>
        <w:pStyle w:val="6-LISTEPUCE"/>
        <w:numPr>
          <w:ilvl w:val="0"/>
          <w:numId w:val="18"/>
        </w:numPr>
        <w:rPr>
          <w:color w:val="FF0000"/>
        </w:rPr>
      </w:pPr>
      <w:r w:rsidRPr="00943AB2">
        <w:t xml:space="preserve">Dans </w:t>
      </w:r>
      <w:r w:rsidRPr="00943AB2">
        <w:rPr>
          <w:b/>
          <w:bCs/>
        </w:rPr>
        <w:t>la Banque de Grande Clientèle</w:t>
      </w:r>
      <w:r w:rsidRPr="00943AB2">
        <w:t xml:space="preserve">, le </w:t>
      </w:r>
      <w:r w:rsidRPr="00943AB2">
        <w:rPr>
          <w:b/>
          <w:bCs/>
        </w:rPr>
        <w:t>résultat avant impôt</w:t>
      </w:r>
      <w:bookmarkStart w:id="16" w:name="_Ref418514515"/>
      <w:r w:rsidR="00585A01" w:rsidRPr="00943AB2">
        <w:rPr>
          <w:rStyle w:val="Appelnotedebasdep"/>
          <w:bCs/>
        </w:rPr>
        <w:footnoteReference w:id="30"/>
      </w:r>
      <w:bookmarkEnd w:id="16"/>
      <w:r w:rsidRPr="00943AB2">
        <w:rPr>
          <w:b/>
        </w:rPr>
        <w:t xml:space="preserve"> </w:t>
      </w:r>
      <w:r w:rsidR="001E46C0">
        <w:t xml:space="preserve">du premier semestre </w:t>
      </w:r>
      <w:r w:rsidRPr="00943AB2">
        <w:t xml:space="preserve">progresse de </w:t>
      </w:r>
      <w:r w:rsidR="00252695">
        <w:t>9</w:t>
      </w:r>
      <w:r w:rsidR="001E46C0">
        <w:t> </w:t>
      </w:r>
      <w:r w:rsidRPr="00943AB2">
        <w:t>%</w:t>
      </w:r>
      <w:r w:rsidR="00CB4616">
        <w:fldChar w:fldCharType="begin"/>
      </w:r>
      <w:r w:rsidR="00CB4616">
        <w:instrText xml:space="preserve"> NOTEREF _Ref425782649 \f \h </w:instrText>
      </w:r>
      <w:r w:rsidR="00CB4616">
        <w:fldChar w:fldCharType="separate"/>
      </w:r>
      <w:r w:rsidR="00A92C86" w:rsidRPr="00A92C86">
        <w:rPr>
          <w:rStyle w:val="Appelnotedebasdep"/>
        </w:rPr>
        <w:t>29</w:t>
      </w:r>
      <w:r w:rsidR="00CB4616">
        <w:fldChar w:fldCharType="end"/>
      </w:r>
      <w:r w:rsidRPr="00943AB2">
        <w:t xml:space="preserve"> sur un an. </w:t>
      </w:r>
      <w:r w:rsidR="003C2DEB" w:rsidRPr="00943AB2">
        <w:t>Le produit net b</w:t>
      </w:r>
      <w:r w:rsidRPr="00943AB2">
        <w:t>ancaire</w:t>
      </w:r>
      <w:r w:rsidR="001E46C0">
        <w:t xml:space="preserve"> </w:t>
      </w:r>
      <w:r w:rsidR="003C2DEB" w:rsidRPr="00943AB2">
        <w:t xml:space="preserve">augmente de </w:t>
      </w:r>
      <w:r w:rsidR="00506C6D">
        <w:t>7,6 </w:t>
      </w:r>
      <w:r w:rsidR="003C2DEB" w:rsidRPr="00943AB2">
        <w:t>%</w:t>
      </w:r>
      <w:r w:rsidR="00943AB2" w:rsidRPr="00943AB2">
        <w:t xml:space="preserve"> </w:t>
      </w:r>
      <w:r w:rsidR="001E46C0">
        <w:t xml:space="preserve">par rapport au premier semestre 2014 </w:t>
      </w:r>
      <w:r w:rsidR="00943AB2" w:rsidRPr="00943AB2">
        <w:t>(+ 10</w:t>
      </w:r>
      <w:r w:rsidR="00FE18BA" w:rsidRPr="00943AB2">
        <w:t xml:space="preserve"> % hors opérations non récurrentes dans les financements structurés </w:t>
      </w:r>
      <w:r w:rsidR="001E46C0" w:rsidRPr="001E46C0">
        <w:t xml:space="preserve">comptabilisées </w:t>
      </w:r>
      <w:r w:rsidR="00FE18BA" w:rsidRPr="001E46C0">
        <w:t>au premier trimestre 2014)</w:t>
      </w:r>
      <w:r w:rsidR="003C2DEB" w:rsidRPr="001E46C0">
        <w:t xml:space="preserve">. Cette croissance </w:t>
      </w:r>
      <w:r w:rsidRPr="001E46C0">
        <w:t xml:space="preserve">est </w:t>
      </w:r>
      <w:r w:rsidR="003C2DEB" w:rsidRPr="001E46C0">
        <w:t xml:space="preserve">principalement portée </w:t>
      </w:r>
      <w:r w:rsidRPr="001E46C0">
        <w:t>par la contribution de</w:t>
      </w:r>
      <w:r w:rsidR="0020328D">
        <w:t>s plateformes</w:t>
      </w:r>
      <w:r w:rsidRPr="001E46C0">
        <w:t xml:space="preserve"> </w:t>
      </w:r>
      <w:r w:rsidR="0020328D">
        <w:t>internationales</w:t>
      </w:r>
      <w:r w:rsidR="00943AB2" w:rsidRPr="001E46C0">
        <w:t xml:space="preserve"> </w:t>
      </w:r>
      <w:r w:rsidR="005836F2">
        <w:t xml:space="preserve">et </w:t>
      </w:r>
      <w:r w:rsidR="0020328D">
        <w:t>plus particulièrement l’</w:t>
      </w:r>
      <w:r w:rsidR="00943AB2" w:rsidRPr="001E46C0">
        <w:t>Asie (+ 59 %)</w:t>
      </w:r>
      <w:r w:rsidRPr="001E46C0">
        <w:t>. Le</w:t>
      </w:r>
      <w:r w:rsidR="00943AB2" w:rsidRPr="001E46C0">
        <w:t>s charges d’exploitation</w:t>
      </w:r>
      <w:r w:rsidR="001E46C0" w:rsidRPr="001E46C0">
        <w:t>,</w:t>
      </w:r>
      <w:r w:rsidRPr="001E46C0">
        <w:t xml:space="preserve"> en hausse</w:t>
      </w:r>
      <w:r w:rsidR="001E46C0" w:rsidRPr="001E46C0">
        <w:t xml:space="preserve"> au deuxième trimestre, </w:t>
      </w:r>
      <w:r w:rsidRPr="001E46C0">
        <w:t>intègre</w:t>
      </w:r>
      <w:r w:rsidR="001E46C0" w:rsidRPr="001E46C0">
        <w:t>nt</w:t>
      </w:r>
      <w:r w:rsidRPr="001E46C0">
        <w:t xml:space="preserve"> </w:t>
      </w:r>
      <w:r w:rsidR="00095714" w:rsidRPr="001E46C0">
        <w:t xml:space="preserve">des </w:t>
      </w:r>
      <w:r w:rsidR="001E46C0" w:rsidRPr="001E46C0">
        <w:t>investissements</w:t>
      </w:r>
      <w:r w:rsidR="00943AB2" w:rsidRPr="001E46C0">
        <w:t xml:space="preserve"> à l’international, un effet change </w:t>
      </w:r>
      <w:r w:rsidR="0020328D">
        <w:t>livre sterling/</w:t>
      </w:r>
      <w:r w:rsidR="004F0A45">
        <w:t xml:space="preserve">euro </w:t>
      </w:r>
      <w:r w:rsidR="00943AB2" w:rsidRPr="001E46C0">
        <w:t>négatif, et l’application d</w:t>
      </w:r>
      <w:r w:rsidR="0020328D">
        <w:t xml:space="preserve">u </w:t>
      </w:r>
      <w:proofErr w:type="spellStart"/>
      <w:r w:rsidR="0020328D" w:rsidRPr="00B63731">
        <w:rPr>
          <w:i/>
        </w:rPr>
        <w:t>Dodd</w:t>
      </w:r>
      <w:proofErr w:type="spellEnd"/>
      <w:r w:rsidR="0020328D" w:rsidRPr="00B63731">
        <w:rPr>
          <w:i/>
        </w:rPr>
        <w:t xml:space="preserve"> Franck </w:t>
      </w:r>
      <w:proofErr w:type="spellStart"/>
      <w:r w:rsidR="0020328D" w:rsidRPr="00B63731">
        <w:rPr>
          <w:i/>
        </w:rPr>
        <w:t>Ac</w:t>
      </w:r>
      <w:r w:rsidR="00943AB2" w:rsidRPr="00B63731">
        <w:rPr>
          <w:i/>
        </w:rPr>
        <w:t>t</w:t>
      </w:r>
      <w:proofErr w:type="spellEnd"/>
      <w:r w:rsidR="00943AB2" w:rsidRPr="001E46C0">
        <w:t xml:space="preserve"> </w:t>
      </w:r>
      <w:r w:rsidR="0020328D">
        <w:t xml:space="preserve">et de la </w:t>
      </w:r>
      <w:proofErr w:type="spellStart"/>
      <w:r w:rsidR="001E46C0" w:rsidRPr="00B63731">
        <w:rPr>
          <w:i/>
        </w:rPr>
        <w:t>V</w:t>
      </w:r>
      <w:r w:rsidR="00943AB2" w:rsidRPr="00B63731">
        <w:rPr>
          <w:i/>
        </w:rPr>
        <w:t>olcker</w:t>
      </w:r>
      <w:proofErr w:type="spellEnd"/>
      <w:r w:rsidR="00943AB2" w:rsidRPr="00B63731">
        <w:rPr>
          <w:i/>
        </w:rPr>
        <w:t xml:space="preserve"> </w:t>
      </w:r>
      <w:proofErr w:type="spellStart"/>
      <w:r w:rsidR="00943AB2" w:rsidRPr="00B63731">
        <w:rPr>
          <w:i/>
        </w:rPr>
        <w:t>Rule</w:t>
      </w:r>
      <w:proofErr w:type="spellEnd"/>
      <w:r w:rsidR="00943AB2" w:rsidRPr="00B63731">
        <w:rPr>
          <w:i/>
        </w:rPr>
        <w:t xml:space="preserve"> </w:t>
      </w:r>
      <w:r w:rsidR="00943AB2" w:rsidRPr="001E46C0">
        <w:t xml:space="preserve">aux </w:t>
      </w:r>
      <w:r w:rsidR="00D16A83">
        <w:t>É</w:t>
      </w:r>
      <w:r w:rsidR="00943AB2" w:rsidRPr="001E46C0">
        <w:t xml:space="preserve">tats-Unis. </w:t>
      </w:r>
      <w:r w:rsidRPr="001E46C0">
        <w:t>La Banque de Grande Cli</w:t>
      </w:r>
      <w:r w:rsidR="001E46C0" w:rsidRPr="001E46C0">
        <w:t>entèle contribue à hauteur de 46</w:t>
      </w:r>
      <w:r w:rsidRPr="001E46C0">
        <w:t xml:space="preserve"> % au </w:t>
      </w:r>
      <w:r w:rsidRPr="001E46C0">
        <w:rPr>
          <w:b/>
        </w:rPr>
        <w:t>résultat avant impôt</w:t>
      </w:r>
      <w:r w:rsidR="00CB4616">
        <w:rPr>
          <w:b/>
        </w:rPr>
        <w:fldChar w:fldCharType="begin"/>
      </w:r>
      <w:r w:rsidR="00CB4616">
        <w:rPr>
          <w:b/>
        </w:rPr>
        <w:instrText xml:space="preserve"> NOTEREF _Ref418514515 \f \h </w:instrText>
      </w:r>
      <w:r w:rsidR="00CB4616">
        <w:rPr>
          <w:b/>
        </w:rPr>
      </w:r>
      <w:r w:rsidR="00CB4616">
        <w:rPr>
          <w:b/>
        </w:rPr>
        <w:fldChar w:fldCharType="separate"/>
      </w:r>
      <w:r w:rsidR="00A92C86" w:rsidRPr="00A92C86">
        <w:rPr>
          <w:rStyle w:val="Appelnotedebasdep"/>
        </w:rPr>
        <w:t>30</w:t>
      </w:r>
      <w:r w:rsidR="00CB4616">
        <w:rPr>
          <w:b/>
        </w:rPr>
        <w:fldChar w:fldCharType="end"/>
      </w:r>
      <w:r w:rsidRPr="001E46C0">
        <w:t xml:space="preserve"> des métiers cœurs. </w:t>
      </w:r>
    </w:p>
    <w:p w:rsidR="00900747" w:rsidRPr="00FD1FEC" w:rsidRDefault="00900747" w:rsidP="00900747">
      <w:pPr>
        <w:pStyle w:val="6-LISTEPUCE"/>
        <w:numPr>
          <w:ilvl w:val="0"/>
          <w:numId w:val="0"/>
        </w:numPr>
        <w:ind w:left="720"/>
        <w:rPr>
          <w:color w:val="FF0000"/>
        </w:rPr>
      </w:pPr>
    </w:p>
    <w:p w:rsidR="00900747" w:rsidRPr="001E46C0" w:rsidRDefault="00900747" w:rsidP="00900747">
      <w:pPr>
        <w:pStyle w:val="6-LISTEPUCE"/>
      </w:pPr>
      <w:r w:rsidRPr="001E46C0">
        <w:t xml:space="preserve">Le </w:t>
      </w:r>
      <w:r w:rsidRPr="001E46C0">
        <w:rPr>
          <w:rStyle w:val="lev"/>
        </w:rPr>
        <w:t>Pôle Épargne</w:t>
      </w:r>
      <w:r w:rsidRPr="001E46C0">
        <w:t xml:space="preserve"> affiche de bonnes performances avec un </w:t>
      </w:r>
      <w:r w:rsidRPr="001E46C0">
        <w:rPr>
          <w:rStyle w:val="lev"/>
        </w:rPr>
        <w:t>résultat avant impôt</w:t>
      </w:r>
      <w:r w:rsidR="00CB4616">
        <w:rPr>
          <w:rStyle w:val="lev"/>
        </w:rPr>
        <w:fldChar w:fldCharType="begin"/>
      </w:r>
      <w:r w:rsidR="00CB4616">
        <w:rPr>
          <w:rStyle w:val="lev"/>
        </w:rPr>
        <w:instrText xml:space="preserve"> NOTEREF _Ref418514515 \f \h </w:instrText>
      </w:r>
      <w:r w:rsidR="00CB4616">
        <w:rPr>
          <w:rStyle w:val="lev"/>
        </w:rPr>
      </w:r>
      <w:r w:rsidR="00CB4616">
        <w:rPr>
          <w:rStyle w:val="lev"/>
        </w:rPr>
        <w:fldChar w:fldCharType="separate"/>
      </w:r>
      <w:r w:rsidR="00A92C86" w:rsidRPr="00A92C86">
        <w:rPr>
          <w:rStyle w:val="Appelnotedebasdep"/>
        </w:rPr>
        <w:t>30</w:t>
      </w:r>
      <w:r w:rsidR="00CB4616">
        <w:rPr>
          <w:rStyle w:val="lev"/>
        </w:rPr>
        <w:fldChar w:fldCharType="end"/>
      </w:r>
      <w:r w:rsidRPr="001E46C0">
        <w:rPr>
          <w:b/>
        </w:rPr>
        <w:t xml:space="preserve"> </w:t>
      </w:r>
      <w:r w:rsidRPr="001E46C0">
        <w:t xml:space="preserve">au </w:t>
      </w:r>
      <w:r w:rsidR="001E46C0" w:rsidRPr="001E46C0">
        <w:t xml:space="preserve">premier semestre </w:t>
      </w:r>
      <w:r w:rsidRPr="001E46C0">
        <w:t>en hau</w:t>
      </w:r>
      <w:r w:rsidR="00990924">
        <w:t xml:space="preserve">sse de </w:t>
      </w:r>
      <w:r w:rsidR="00252695">
        <w:t>34</w:t>
      </w:r>
      <w:r w:rsidRPr="001E46C0">
        <w:t xml:space="preserve"> % sur un an, grâce à une hausse</w:t>
      </w:r>
      <w:r w:rsidR="001E46C0" w:rsidRPr="001E46C0">
        <w:t xml:space="preserve"> </w:t>
      </w:r>
      <w:r w:rsidR="0020328D">
        <w:t>marquée</w:t>
      </w:r>
      <w:r w:rsidR="001E46C0" w:rsidRPr="001E46C0">
        <w:t xml:space="preserve"> des r</w:t>
      </w:r>
      <w:r w:rsidR="00A264C5">
        <w:t>evenus de tous les métiers (+ 22,8</w:t>
      </w:r>
      <w:r w:rsidR="001E46C0" w:rsidRPr="001E46C0">
        <w:t> % à change courant et + 10</w:t>
      </w:r>
      <w:r w:rsidRPr="001E46C0">
        <w:t xml:space="preserve"> % à change </w:t>
      </w:r>
      <w:r w:rsidR="001E46C0" w:rsidRPr="001E46C0">
        <w:t xml:space="preserve">constant). </w:t>
      </w:r>
      <w:r w:rsidR="008D5976">
        <w:t>Portée par toutes les zones géographiques, l</w:t>
      </w:r>
      <w:r w:rsidR="001E46C0" w:rsidRPr="001E46C0">
        <w:t>a gestion d’actifs enregistre</w:t>
      </w:r>
      <w:r w:rsidRPr="001E46C0">
        <w:t xml:space="preserve"> une collecte nette </w:t>
      </w:r>
      <w:r w:rsidR="001E46C0" w:rsidRPr="001E46C0">
        <w:t>record, sur le premier semestre, de 2</w:t>
      </w:r>
      <w:r w:rsidRPr="001E46C0">
        <w:t xml:space="preserve">9 milliards d’euros. Le Pôle </w:t>
      </w:r>
      <w:r w:rsidR="001E46C0" w:rsidRPr="001E46C0">
        <w:t>Épargne contribue à hauteur de 39</w:t>
      </w:r>
      <w:r w:rsidRPr="001E46C0">
        <w:t xml:space="preserve"> % au </w:t>
      </w:r>
      <w:r w:rsidRPr="001E46C0">
        <w:rPr>
          <w:b/>
        </w:rPr>
        <w:t>résultat avant impôt</w:t>
      </w:r>
      <w:r w:rsidR="00CB4616">
        <w:rPr>
          <w:b/>
        </w:rPr>
        <w:fldChar w:fldCharType="begin"/>
      </w:r>
      <w:r w:rsidR="00CB4616">
        <w:rPr>
          <w:b/>
        </w:rPr>
        <w:instrText xml:space="preserve"> NOTEREF _Ref418514515 \f \h </w:instrText>
      </w:r>
      <w:r w:rsidR="00CB4616">
        <w:rPr>
          <w:b/>
        </w:rPr>
      </w:r>
      <w:r w:rsidR="00CB4616">
        <w:rPr>
          <w:b/>
        </w:rPr>
        <w:fldChar w:fldCharType="separate"/>
      </w:r>
      <w:r w:rsidR="00A92C86" w:rsidRPr="00A92C86">
        <w:rPr>
          <w:rStyle w:val="Appelnotedebasdep"/>
        </w:rPr>
        <w:t>30</w:t>
      </w:r>
      <w:r w:rsidR="00CB4616">
        <w:rPr>
          <w:b/>
        </w:rPr>
        <w:fldChar w:fldCharType="end"/>
      </w:r>
      <w:r w:rsidRPr="001E46C0">
        <w:t xml:space="preserve"> des métiers cœurs.</w:t>
      </w:r>
    </w:p>
    <w:p w:rsidR="00900747" w:rsidRPr="004F0A45" w:rsidRDefault="00900747" w:rsidP="00900747">
      <w:pPr>
        <w:pStyle w:val="6-LISTEPUCE"/>
        <w:numPr>
          <w:ilvl w:val="0"/>
          <w:numId w:val="0"/>
        </w:numPr>
        <w:ind w:left="720"/>
      </w:pPr>
    </w:p>
    <w:p w:rsidR="00900747" w:rsidRPr="004F0A45" w:rsidRDefault="00900747" w:rsidP="00900747">
      <w:pPr>
        <w:pStyle w:val="6-LISTEPUCE"/>
      </w:pPr>
      <w:r w:rsidRPr="004F0A45">
        <w:t xml:space="preserve">Le </w:t>
      </w:r>
      <w:r w:rsidRPr="004F0A45">
        <w:rPr>
          <w:rStyle w:val="lev"/>
        </w:rPr>
        <w:t>résultat avant impôt</w:t>
      </w:r>
      <w:r w:rsidR="00CB4616">
        <w:rPr>
          <w:rStyle w:val="lev"/>
        </w:rPr>
        <w:fldChar w:fldCharType="begin"/>
      </w:r>
      <w:r w:rsidR="00CB4616">
        <w:rPr>
          <w:rStyle w:val="lev"/>
        </w:rPr>
        <w:instrText xml:space="preserve"> NOTEREF _Ref418514515 \f \h </w:instrText>
      </w:r>
      <w:r w:rsidR="00CB4616">
        <w:rPr>
          <w:rStyle w:val="lev"/>
        </w:rPr>
      </w:r>
      <w:r w:rsidR="00CB4616">
        <w:rPr>
          <w:rStyle w:val="lev"/>
        </w:rPr>
        <w:fldChar w:fldCharType="separate"/>
      </w:r>
      <w:r w:rsidR="00A92C86" w:rsidRPr="00A92C86">
        <w:rPr>
          <w:rStyle w:val="Appelnotedebasdep"/>
        </w:rPr>
        <w:t>30</w:t>
      </w:r>
      <w:r w:rsidR="00CB4616">
        <w:rPr>
          <w:rStyle w:val="lev"/>
        </w:rPr>
        <w:fldChar w:fldCharType="end"/>
      </w:r>
      <w:r w:rsidRPr="004F0A45">
        <w:t xml:space="preserve"> du </w:t>
      </w:r>
      <w:r w:rsidRPr="004F0A45">
        <w:rPr>
          <w:rStyle w:val="lev"/>
        </w:rPr>
        <w:t>Pôle Services Financiers Spécialisés (SFS)</w:t>
      </w:r>
      <w:r w:rsidR="001933C4" w:rsidRPr="004F0A45">
        <w:rPr>
          <w:rStyle w:val="lev"/>
        </w:rPr>
        <w:t xml:space="preserve"> </w:t>
      </w:r>
      <w:r w:rsidRPr="004F0A45">
        <w:t>enre</w:t>
      </w:r>
      <w:r w:rsidR="004F0A45" w:rsidRPr="004F0A45">
        <w:t>gistre, sur le premier semestre</w:t>
      </w:r>
      <w:r w:rsidRPr="004F0A45">
        <w:t xml:space="preserve"> 2015, une progression significative de 1</w:t>
      </w:r>
      <w:r w:rsidR="00252695">
        <w:t>2</w:t>
      </w:r>
      <w:r w:rsidRPr="004F0A45">
        <w:t xml:space="preserve"> %. </w:t>
      </w:r>
      <w:r w:rsidR="007131EA" w:rsidRPr="004F0A45">
        <w:t>Le</w:t>
      </w:r>
      <w:r w:rsidRPr="004F0A45">
        <w:t xml:space="preserve">s revenus </w:t>
      </w:r>
      <w:r w:rsidR="008D5976">
        <w:t>augmentent de 4</w:t>
      </w:r>
      <w:r w:rsidR="004158A7">
        <w:t>,2</w:t>
      </w:r>
      <w:r w:rsidR="007131EA" w:rsidRPr="004F0A45">
        <w:t> %, portés par l</w:t>
      </w:r>
      <w:r w:rsidRPr="004F0A45">
        <w:t xml:space="preserve">es activités de </w:t>
      </w:r>
      <w:r w:rsidR="004F0A45" w:rsidRPr="004F0A45">
        <w:t>Financement spécialisés</w:t>
      </w:r>
      <w:r w:rsidR="004F0A45" w:rsidRPr="004F0A45">
        <w:rPr>
          <w:rStyle w:val="Appelnotedebasdep"/>
        </w:rPr>
        <w:footnoteReference w:id="31"/>
      </w:r>
      <w:r w:rsidR="004F0A45" w:rsidRPr="004F0A45">
        <w:t xml:space="preserve"> (+ 8 % sur un an)</w:t>
      </w:r>
      <w:r w:rsidRPr="004F0A45">
        <w:t>. Le Pôle Services Financiers Spécia</w:t>
      </w:r>
      <w:r w:rsidR="007C6401" w:rsidRPr="004F0A45">
        <w:t xml:space="preserve">lisés contribue à hauteur de 15 % </w:t>
      </w:r>
      <w:r w:rsidRPr="004F0A45">
        <w:t xml:space="preserve">au </w:t>
      </w:r>
      <w:r w:rsidRPr="004F0A45">
        <w:rPr>
          <w:b/>
        </w:rPr>
        <w:t>résultat avant impôt</w:t>
      </w:r>
      <w:r w:rsidR="00CB4616">
        <w:rPr>
          <w:b/>
        </w:rPr>
        <w:fldChar w:fldCharType="begin"/>
      </w:r>
      <w:r w:rsidR="00CB4616">
        <w:rPr>
          <w:b/>
        </w:rPr>
        <w:instrText xml:space="preserve"> NOTEREF _Ref418514515 \f \h </w:instrText>
      </w:r>
      <w:r w:rsidR="00CB4616">
        <w:rPr>
          <w:b/>
        </w:rPr>
      </w:r>
      <w:r w:rsidR="00CB4616">
        <w:rPr>
          <w:b/>
        </w:rPr>
        <w:fldChar w:fldCharType="separate"/>
      </w:r>
      <w:r w:rsidR="00A92C86" w:rsidRPr="00A92C86">
        <w:rPr>
          <w:rStyle w:val="Appelnotedebasdep"/>
        </w:rPr>
        <w:t>30</w:t>
      </w:r>
      <w:r w:rsidR="00CB4616">
        <w:rPr>
          <w:b/>
        </w:rPr>
        <w:fldChar w:fldCharType="end"/>
      </w:r>
      <w:r w:rsidRPr="004F0A45">
        <w:t xml:space="preserve"> des métiers cœurs.</w:t>
      </w:r>
    </w:p>
    <w:p w:rsidR="00900747" w:rsidRPr="00FD1FEC" w:rsidRDefault="00900747" w:rsidP="00900747">
      <w:pPr>
        <w:pStyle w:val="2-TEXTECOURANTcommuniqu"/>
        <w:rPr>
          <w:color w:val="FF0000"/>
        </w:rPr>
      </w:pPr>
    </w:p>
    <w:p w:rsidR="004E1CF2" w:rsidRPr="00FD1FEC" w:rsidRDefault="004E1CF2" w:rsidP="004E1CF2">
      <w:pPr>
        <w:pStyle w:val="2-TEXTECOURANTcommuniqu"/>
        <w:rPr>
          <w:color w:val="FF0000"/>
        </w:rPr>
      </w:pPr>
      <w:r w:rsidRPr="00860D84">
        <w:t xml:space="preserve">Le </w:t>
      </w:r>
      <w:r w:rsidRPr="00860D84">
        <w:rPr>
          <w:rStyle w:val="lev"/>
        </w:rPr>
        <w:t>coefficient d’exploitation</w:t>
      </w:r>
      <w:r w:rsidR="00CB4616">
        <w:rPr>
          <w:rStyle w:val="lev"/>
        </w:rPr>
        <w:fldChar w:fldCharType="begin"/>
      </w:r>
      <w:r w:rsidR="00CB4616">
        <w:rPr>
          <w:rStyle w:val="lev"/>
        </w:rPr>
        <w:instrText xml:space="preserve"> NOTEREF _Ref418514515 \f \h </w:instrText>
      </w:r>
      <w:r w:rsidR="00CB4616">
        <w:rPr>
          <w:rStyle w:val="lev"/>
        </w:rPr>
      </w:r>
      <w:r w:rsidR="00CB4616">
        <w:rPr>
          <w:rStyle w:val="lev"/>
        </w:rPr>
        <w:fldChar w:fldCharType="separate"/>
      </w:r>
      <w:r w:rsidR="00A92C86" w:rsidRPr="00A92C86">
        <w:rPr>
          <w:rStyle w:val="Appelnotedebasdep"/>
        </w:rPr>
        <w:t>30</w:t>
      </w:r>
      <w:r w:rsidR="00CB4616">
        <w:rPr>
          <w:rStyle w:val="lev"/>
        </w:rPr>
        <w:fldChar w:fldCharType="end"/>
      </w:r>
      <w:r w:rsidRPr="00860D84">
        <w:rPr>
          <w:rStyle w:val="lev"/>
        </w:rPr>
        <w:t xml:space="preserve"> </w:t>
      </w:r>
      <w:r w:rsidRPr="00860D84">
        <w:t xml:space="preserve">des métiers cœurs de Natixis </w:t>
      </w:r>
      <w:r>
        <w:t xml:space="preserve">reste stable à 62,3 % au deuxième trimestre 2015 et à 62,9 % au premier semestre 2015. </w:t>
      </w:r>
    </w:p>
    <w:p w:rsidR="008D5976" w:rsidRPr="00FD1FEC" w:rsidRDefault="008D5976" w:rsidP="004E1CF2">
      <w:pPr>
        <w:pStyle w:val="2-TEXTECOURANTcommuniqu"/>
        <w:rPr>
          <w:color w:val="FF0000"/>
        </w:rPr>
      </w:pPr>
      <w:r w:rsidRPr="008D5976">
        <w:t xml:space="preserve">Le </w:t>
      </w:r>
      <w:r w:rsidRPr="00D343F5">
        <w:rPr>
          <w:b/>
        </w:rPr>
        <w:t>ROE</w:t>
      </w:r>
      <w:r w:rsidR="00CB4616">
        <w:rPr>
          <w:b/>
        </w:rPr>
        <w:fldChar w:fldCharType="begin"/>
      </w:r>
      <w:r w:rsidR="00CB4616">
        <w:rPr>
          <w:b/>
        </w:rPr>
        <w:instrText xml:space="preserve"> NOTEREF _Ref418514515 \f \h </w:instrText>
      </w:r>
      <w:r w:rsidR="00CB4616">
        <w:rPr>
          <w:b/>
        </w:rPr>
      </w:r>
      <w:r w:rsidR="00CB4616">
        <w:rPr>
          <w:b/>
        </w:rPr>
        <w:fldChar w:fldCharType="separate"/>
      </w:r>
      <w:r w:rsidR="00A92C86" w:rsidRPr="00A92C86">
        <w:rPr>
          <w:rStyle w:val="Appelnotedebasdep"/>
        </w:rPr>
        <w:t>30</w:t>
      </w:r>
      <w:r w:rsidR="00CB4616">
        <w:rPr>
          <w:b/>
        </w:rPr>
        <w:fldChar w:fldCharType="end"/>
      </w:r>
      <w:r w:rsidRPr="00D343F5">
        <w:rPr>
          <w:b/>
        </w:rPr>
        <w:t xml:space="preserve"> </w:t>
      </w:r>
      <w:r w:rsidRPr="008D5976">
        <w:rPr>
          <w:spacing w:val="0"/>
        </w:rPr>
        <w:t xml:space="preserve">s’établit à </w:t>
      </w:r>
      <w:r>
        <w:rPr>
          <w:spacing w:val="0"/>
        </w:rPr>
        <w:t>14 % au deuxième trimestre 2015</w:t>
      </w:r>
      <w:r w:rsidR="00885158">
        <w:rPr>
          <w:spacing w:val="0"/>
        </w:rPr>
        <w:t>,</w:t>
      </w:r>
      <w:r w:rsidRPr="00BC6054">
        <w:rPr>
          <w:spacing w:val="0"/>
        </w:rPr>
        <w:t xml:space="preserve"> </w:t>
      </w:r>
      <w:r>
        <w:rPr>
          <w:spacing w:val="0"/>
        </w:rPr>
        <w:t>soit une hausse de 2 points par rapport au deuxième trimestre 2014</w:t>
      </w:r>
      <w:r w:rsidR="00885158">
        <w:rPr>
          <w:spacing w:val="0"/>
        </w:rPr>
        <w:t>,</w:t>
      </w:r>
      <w:r>
        <w:rPr>
          <w:spacing w:val="0"/>
        </w:rPr>
        <w:t xml:space="preserve"> et à 13 % au </w:t>
      </w:r>
      <w:r w:rsidRPr="00BC6054">
        <w:rPr>
          <w:spacing w:val="0"/>
        </w:rPr>
        <w:t>premier semestre 201</w:t>
      </w:r>
      <w:r>
        <w:rPr>
          <w:spacing w:val="0"/>
        </w:rPr>
        <w:t xml:space="preserve">5, soit une hausse de 1 point par </w:t>
      </w:r>
      <w:r w:rsidR="00810256">
        <w:rPr>
          <w:spacing w:val="0"/>
        </w:rPr>
        <w:t>rapport au premier semestre 2014</w:t>
      </w:r>
      <w:r>
        <w:rPr>
          <w:spacing w:val="0"/>
        </w:rPr>
        <w:t>.</w:t>
      </w:r>
      <w:r>
        <w:rPr>
          <w:color w:val="FF0000"/>
        </w:rPr>
        <w:br/>
      </w:r>
    </w:p>
    <w:p w:rsidR="00A72198" w:rsidRPr="00FD1FEC" w:rsidRDefault="004E1CF2" w:rsidP="008B22EE">
      <w:pPr>
        <w:pStyle w:val="Italique"/>
        <w:ind w:left="0" w:firstLine="0"/>
        <w:rPr>
          <w:color w:val="FF0000"/>
          <w:spacing w:val="-4"/>
        </w:rPr>
      </w:pPr>
      <w:r w:rsidRPr="00C65CA0">
        <w:t xml:space="preserve">(Pour une analyse plus détaillée des métiers et des résultats de Natixis, merci de vous reporter au communiqué de presse de Natixis que vous trouverez en ligne sur </w:t>
      </w:r>
      <w:hyperlink r:id="rId10" w:history="1">
        <w:r w:rsidRPr="00C65CA0">
          <w:rPr>
            <w:rStyle w:val="Lienhypertexte"/>
            <w:color w:val="auto"/>
          </w:rPr>
          <w:t>www.natixis.com</w:t>
        </w:r>
      </w:hyperlink>
      <w:r w:rsidRPr="00C65CA0">
        <w:t>).</w:t>
      </w:r>
    </w:p>
    <w:p w:rsidR="0069247C" w:rsidRDefault="00602E64" w:rsidP="00A72198">
      <w:pPr>
        <w:pStyle w:val="3-Titre2"/>
      </w:pPr>
      <w:r>
        <w:rPr>
          <w:rStyle w:val="orange"/>
        </w:rPr>
        <w:t>3</w:t>
      </w:r>
      <w:r w:rsidR="0069247C" w:rsidRPr="00A72198">
        <w:rPr>
          <w:rStyle w:val="orange"/>
        </w:rPr>
        <w:t>.3</w:t>
      </w:r>
      <w:r w:rsidR="0069247C">
        <w:t xml:space="preserve"> Participations financières</w:t>
      </w:r>
    </w:p>
    <w:p w:rsidR="0069247C" w:rsidRPr="000E1EDF" w:rsidRDefault="004E3EE3">
      <w:pPr>
        <w:pStyle w:val="intro"/>
      </w:pPr>
      <w:r w:rsidRPr="006D1A95">
        <w:t xml:space="preserve">Le pôle Participations financières comprend les participations de Natixis (dont Coface et les activités de </w:t>
      </w:r>
      <w:proofErr w:type="spellStart"/>
      <w:r w:rsidRPr="006D1A95">
        <w:t>Private</w:t>
      </w:r>
      <w:proofErr w:type="spellEnd"/>
      <w:r w:rsidRPr="006D1A95">
        <w:t xml:space="preserve"> </w:t>
      </w:r>
      <w:proofErr w:type="spellStart"/>
      <w:r w:rsidRPr="006D1A95">
        <w:t>Equity</w:t>
      </w:r>
      <w:proofErr w:type="spellEnd"/>
      <w:r w:rsidRPr="006D1A95">
        <w:t>)</w:t>
      </w:r>
      <w:r w:rsidR="00010F31">
        <w:t>.</w:t>
      </w:r>
    </w:p>
    <w:p w:rsidR="00077ED8" w:rsidRPr="002B3D74" w:rsidRDefault="00077ED8" w:rsidP="0069247C">
      <w:pPr>
        <w:pStyle w:val="2-TEXTECOURANTcommuniqu"/>
        <w:rPr>
          <w:color w:val="FF0000"/>
        </w:rPr>
      </w:pPr>
    </w:p>
    <w:p w:rsidR="00BA087E" w:rsidRPr="00082CED" w:rsidRDefault="00BA087E" w:rsidP="00BA087E">
      <w:pPr>
        <w:pStyle w:val="2-TEXTECOURANTcommuniqu"/>
      </w:pPr>
      <w:r w:rsidRPr="00082CED">
        <w:t>Au deuxième trimestre 2015, le produit net bancaire des participations financières s’établit à 196 millions d’euros, en baisse de 7,3 % par rapport au deuxième trimestre 2014. Au premier semestre, il s’élève à 423 millions d’euros, stable par rapport au premier semestre 2014. </w:t>
      </w:r>
    </w:p>
    <w:p w:rsidR="00BA087E" w:rsidRPr="00082CED" w:rsidRDefault="00BA087E" w:rsidP="00BA087E">
      <w:pPr>
        <w:pStyle w:val="2-TEXTECOURANTcommuniqu"/>
      </w:pPr>
      <w:r w:rsidRPr="00082CED">
        <w:t>Le résultat avant impôt du deuxième trimestre s’établit à 120 millions d’euro</w:t>
      </w:r>
      <w:r w:rsidR="00724989">
        <w:t>s</w:t>
      </w:r>
      <w:r w:rsidRPr="00082CED">
        <w:t>. Celui du premier semestr</w:t>
      </w:r>
      <w:r w:rsidR="003D7FC0">
        <w:t>e atteint 170 millions d’euros.</w:t>
      </w:r>
    </w:p>
    <w:p w:rsidR="00BA087E" w:rsidRPr="00082CED" w:rsidRDefault="00BA087E" w:rsidP="00BA087E">
      <w:pPr>
        <w:pStyle w:val="2-TEXTECOURANTcommuniqu"/>
      </w:pPr>
    </w:p>
    <w:p w:rsidR="00CF7628" w:rsidRPr="00082CED" w:rsidRDefault="00BA087E" w:rsidP="00BA087E">
      <w:pPr>
        <w:pStyle w:val="2-TEXTECOURANTcommuniqu"/>
      </w:pPr>
      <w:r w:rsidRPr="00082CED">
        <w:t>Après retraitement de l’impact de l’IFRIC 21, le résultat avant impôt s’élève à 119 millions d’euros sur le trimestre et à 171 millions d’euros sur le semestre.</w:t>
      </w:r>
    </w:p>
    <w:p w:rsidR="00BA087E" w:rsidRDefault="00BA087E" w:rsidP="00BA087E">
      <w:pPr>
        <w:pStyle w:val="2-TEXTECOURANTcommuniqu"/>
      </w:pPr>
    </w:p>
    <w:p w:rsidR="00BA087E" w:rsidRPr="00082CED" w:rsidRDefault="00BA087E" w:rsidP="00BA087E">
      <w:pPr>
        <w:pStyle w:val="3-Titre3"/>
      </w:pPr>
      <w:r w:rsidRPr="00082CED">
        <w:t xml:space="preserve">Coface </w:t>
      </w:r>
    </w:p>
    <w:p w:rsidR="00BA087E" w:rsidRPr="00082CED" w:rsidRDefault="00BA087E" w:rsidP="00BA087E">
      <w:pPr>
        <w:pStyle w:val="2-TEXTECOURANTcommuniqu"/>
      </w:pPr>
    </w:p>
    <w:p w:rsidR="00BA087E" w:rsidRPr="00082CED" w:rsidRDefault="00BA087E" w:rsidP="00BA087E">
      <w:pPr>
        <w:pStyle w:val="2-TEXTECOURANTcommuniqu"/>
      </w:pPr>
      <w:r w:rsidRPr="00082CED">
        <w:t>Le chiffre d’affaires</w:t>
      </w:r>
      <w:r w:rsidRPr="00082CED">
        <w:rPr>
          <w:rStyle w:val="Appelnotedebasdep"/>
        </w:rPr>
        <w:footnoteReference w:id="32"/>
      </w:r>
      <w:r w:rsidRPr="00082CED">
        <w:t xml:space="preserve"> de Coface s’établit à 359 millions d’euros pour le deuxième trimestre</w:t>
      </w:r>
      <w:r w:rsidR="007F0099">
        <w:t xml:space="preserve">, soit une hausse de 2 % sur un an. Il s’élève </w:t>
      </w:r>
      <w:r w:rsidRPr="00082CED">
        <w:t>à 736 millions d’euros pour le premier semestre</w:t>
      </w:r>
      <w:r w:rsidR="007F0099">
        <w:t xml:space="preserve">, soit une augmentation de 2 % sur un an </w:t>
      </w:r>
      <w:r w:rsidR="007F0099" w:rsidRPr="00082CED">
        <w:t>du fait d’une bonne dynamique commerciale.</w:t>
      </w:r>
      <w:r w:rsidRPr="00082CED">
        <w:t xml:space="preserve"> </w:t>
      </w:r>
    </w:p>
    <w:p w:rsidR="00BA087E" w:rsidRPr="00082CED" w:rsidRDefault="00BA087E" w:rsidP="00BA087E">
      <w:pPr>
        <w:pStyle w:val="2-TEXTECOURANTcommuniqu"/>
      </w:pPr>
    </w:p>
    <w:p w:rsidR="00BA087E" w:rsidRPr="00082CED" w:rsidRDefault="00BA087E" w:rsidP="00BA087E">
      <w:pPr>
        <w:pStyle w:val="2-TEXTECOURANTcommuniqu"/>
      </w:pPr>
      <w:r w:rsidRPr="00082CED">
        <w:t>L’assureur-crédit présente également une bonne maîtrise des charges</w:t>
      </w:r>
      <w:r w:rsidRPr="00082CED">
        <w:rPr>
          <w:rStyle w:val="Appelnotedebasdep"/>
        </w:rPr>
        <w:footnoteReference w:id="33"/>
      </w:r>
      <w:r w:rsidRPr="00082CED">
        <w:t>, stables sur le semestre.</w:t>
      </w:r>
    </w:p>
    <w:p w:rsidR="00BA087E" w:rsidRPr="00082CED" w:rsidRDefault="00BA087E" w:rsidP="00BA087E">
      <w:pPr>
        <w:pStyle w:val="2-TEXTECOURANTcommuniqu"/>
      </w:pPr>
    </w:p>
    <w:p w:rsidR="00BA087E" w:rsidRPr="00082CED" w:rsidRDefault="00BA087E" w:rsidP="00BA087E">
      <w:pPr>
        <w:pStyle w:val="2-TEXTECOURANTcommuniqu"/>
      </w:pPr>
      <w:r w:rsidRPr="00082CED">
        <w:t xml:space="preserve">A 81,9 %, le ratio combiné augmente de </w:t>
      </w:r>
      <w:r w:rsidR="00C464BB">
        <w:t>près de 4</w:t>
      </w:r>
      <w:r w:rsidRPr="00082CED">
        <w:t xml:space="preserve"> points au premier semestre 2015 sous l’effet de</w:t>
      </w:r>
      <w:r w:rsidR="00134813">
        <w:t xml:space="preserve"> : </w:t>
      </w:r>
    </w:p>
    <w:p w:rsidR="00BA087E" w:rsidRPr="00082CED" w:rsidRDefault="00134813" w:rsidP="00BA087E">
      <w:pPr>
        <w:pStyle w:val="6-LISTEPUCE"/>
      </w:pPr>
      <w:r w:rsidRPr="00082CED">
        <w:t>l</w:t>
      </w:r>
      <w:r>
        <w:t>a hausse du </w:t>
      </w:r>
      <w:proofErr w:type="spellStart"/>
      <w:r w:rsidR="00BA087E" w:rsidRPr="00082CED">
        <w:t>cost</w:t>
      </w:r>
      <w:proofErr w:type="spellEnd"/>
      <w:r w:rsidR="00BA087E" w:rsidRPr="00082CED">
        <w:t xml:space="preserve"> ratio</w:t>
      </w:r>
      <w:r w:rsidR="00962739">
        <w:t>,</w:t>
      </w:r>
      <w:r w:rsidR="00BA087E" w:rsidRPr="00082CED">
        <w:t xml:space="preserve"> qui s’élève à 29,8 % contre 27 % au premier semestre 2014 </w:t>
      </w:r>
      <w:r w:rsidR="00F86946">
        <w:t>en lien avec le développement de l’activité</w:t>
      </w:r>
      <w:r w:rsidR="00D40F26">
        <w:t> ;</w:t>
      </w:r>
    </w:p>
    <w:p w:rsidR="00BA087E" w:rsidRDefault="00134813" w:rsidP="00BA087E">
      <w:pPr>
        <w:pStyle w:val="6-LISTEPUCE"/>
      </w:pPr>
      <w:r w:rsidRPr="00082CED">
        <w:t>l</w:t>
      </w:r>
      <w:r>
        <w:t>a hausse du </w:t>
      </w:r>
      <w:proofErr w:type="spellStart"/>
      <w:r w:rsidR="00BA087E" w:rsidRPr="00082CED">
        <w:t>loss</w:t>
      </w:r>
      <w:proofErr w:type="spellEnd"/>
      <w:r w:rsidR="00BA087E" w:rsidRPr="00082CED">
        <w:t xml:space="preserve"> ratio</w:t>
      </w:r>
      <w:r w:rsidR="00962739">
        <w:t>,</w:t>
      </w:r>
      <w:r w:rsidR="00BA087E" w:rsidRPr="00082CED">
        <w:t xml:space="preserve"> qui ressort à 52 % contre 50,9 % au premier semestre 2014</w:t>
      </w:r>
      <w:r w:rsidR="00D40F26">
        <w:t>,</w:t>
      </w:r>
      <w:r w:rsidR="00BA087E" w:rsidRPr="00082CED">
        <w:t xml:space="preserve"> due à la dégradation du contexte économique </w:t>
      </w:r>
      <w:r w:rsidR="002F477C">
        <w:t>dans certains pays émergents</w:t>
      </w:r>
      <w:r w:rsidR="00D40F26">
        <w:t>.</w:t>
      </w:r>
    </w:p>
    <w:p w:rsidR="00ED3EF9" w:rsidRDefault="00ED3EF9" w:rsidP="0000413E">
      <w:pPr>
        <w:pStyle w:val="6-LISTEPUCE"/>
        <w:numPr>
          <w:ilvl w:val="0"/>
          <w:numId w:val="0"/>
        </w:numPr>
      </w:pPr>
    </w:p>
    <w:p w:rsidR="00ED3EF9" w:rsidRPr="00082CED" w:rsidRDefault="00ED3EF9" w:rsidP="0000413E">
      <w:pPr>
        <w:pStyle w:val="6-LISTEPUCE"/>
        <w:numPr>
          <w:ilvl w:val="0"/>
          <w:numId w:val="0"/>
        </w:numPr>
      </w:pPr>
      <w:r>
        <w:t xml:space="preserve">Accord avec la Banque publique d’investissement pour le transfert de la gestion des </w:t>
      </w:r>
      <w:r w:rsidR="00C75DE3">
        <w:t>procédures</w:t>
      </w:r>
      <w:r>
        <w:t xml:space="preserve"> publiques pour une valorisation d’environ 90 millions d’euros.</w:t>
      </w:r>
    </w:p>
    <w:p w:rsidR="00BA087E" w:rsidRPr="00082CED" w:rsidRDefault="00BA087E" w:rsidP="00BA087E">
      <w:pPr>
        <w:pStyle w:val="2-TEXTECOURANTcommuniqu"/>
      </w:pPr>
    </w:p>
    <w:p w:rsidR="00BA087E" w:rsidRPr="00082CED" w:rsidRDefault="00BA087E" w:rsidP="00BA087E">
      <w:pPr>
        <w:pStyle w:val="3-Titre3"/>
      </w:pPr>
      <w:r w:rsidRPr="00082CED">
        <w:t xml:space="preserve">Nexity </w:t>
      </w:r>
    </w:p>
    <w:p w:rsidR="00BA087E" w:rsidRPr="00082CED" w:rsidRDefault="00BA087E" w:rsidP="00BA087E">
      <w:pPr>
        <w:pStyle w:val="2-TEXTECOURANTcommuniqu"/>
      </w:pPr>
    </w:p>
    <w:p w:rsidR="00BA087E" w:rsidRPr="00082CED" w:rsidRDefault="00BA087E" w:rsidP="00BA087E">
      <w:pPr>
        <w:pStyle w:val="2-TEXTECOURANTcommuniqu"/>
      </w:pPr>
      <w:r w:rsidRPr="00082CED">
        <w:t xml:space="preserve">Au deuxième trimestre 2015, le Groupe BPCE a poursuivi sa stratégie de cession de participations non stratégiques en vendant 13,65 % du capital de Nexity. Désormais comptabilisée au sein du portefeuille d’actifs disponibles à la vente, la participation résiduelle du groupe dans Nexity s’élève à 19,75 %. L’impact en résultat net de sa déconsolidation est de 109 millions d’euros. </w:t>
      </w:r>
    </w:p>
    <w:p w:rsidR="0069247C" w:rsidRDefault="0069247C" w:rsidP="0069247C">
      <w:pPr>
        <w:pStyle w:val="2-TEXTECOURANTcommuniqu"/>
        <w:rPr>
          <w:color w:val="FF0000"/>
        </w:rPr>
      </w:pPr>
    </w:p>
    <w:p w:rsidR="00010E99" w:rsidRPr="00010E99" w:rsidRDefault="00010E99" w:rsidP="0069247C">
      <w:pPr>
        <w:pStyle w:val="2-TEXTECOURANTcommuniqu"/>
      </w:pPr>
      <w:r w:rsidRPr="00010E99">
        <w:t>Le 29/07/2015, le Groupe BPCE a annoncé la cession complémentaire de 6,9 % du capital et des droits de vote de Nexity. La participation résiduelle du groupe s’établit à 12,8 %.</w:t>
      </w:r>
    </w:p>
    <w:p w:rsidR="00964470" w:rsidRDefault="0069247C">
      <w:pPr>
        <w:jc w:val="left"/>
        <w:rPr>
          <w:spacing w:val="-4"/>
          <w:sz w:val="20"/>
          <w:szCs w:val="20"/>
        </w:rPr>
      </w:pPr>
      <w:r w:rsidRPr="00FD1FEC">
        <w:rPr>
          <w:color w:val="FF0000"/>
        </w:rPr>
        <w:t> </w:t>
      </w:r>
      <w:r w:rsidR="00964470">
        <w:br w:type="page"/>
      </w:r>
    </w:p>
    <w:p w:rsidR="0069247C" w:rsidRPr="000D583E" w:rsidRDefault="0069247C" w:rsidP="0069247C">
      <w:pPr>
        <w:pStyle w:val="2-TEXTECOURANTcommuniqu"/>
      </w:pPr>
      <w:r w:rsidRPr="000D583E">
        <w:lastRenderedPageBreak/>
        <w:t xml:space="preserve">Pour en savoir plus sur les résultats financiers </w:t>
      </w:r>
      <w:r w:rsidR="000D583E" w:rsidRPr="000D583E">
        <w:t xml:space="preserve">du </w:t>
      </w:r>
      <w:r w:rsidR="007742A0">
        <w:t>deuxième</w:t>
      </w:r>
      <w:r w:rsidR="000D583E" w:rsidRPr="000D583E">
        <w:t xml:space="preserve"> trimestre </w:t>
      </w:r>
      <w:r w:rsidR="007742A0">
        <w:t xml:space="preserve">et du premier semestre </w:t>
      </w:r>
      <w:r w:rsidR="000D583E" w:rsidRPr="000D583E">
        <w:t>2015</w:t>
      </w:r>
      <w:r w:rsidRPr="000D583E">
        <w:t xml:space="preserve">, consulter le site </w:t>
      </w:r>
      <w:hyperlink r:id="rId11" w:history="1">
        <w:r w:rsidR="001743F4" w:rsidRPr="000D583E">
          <w:rPr>
            <w:rStyle w:val="Lienhypertexte"/>
            <w:color w:val="auto"/>
          </w:rPr>
          <w:t>www.groupebpce.fr</w:t>
        </w:r>
      </w:hyperlink>
      <w:r w:rsidR="001743F4" w:rsidRPr="000D583E">
        <w:t>,</w:t>
      </w:r>
      <w:r w:rsidR="003A4476" w:rsidRPr="000D583E">
        <w:t xml:space="preserve"> </w:t>
      </w:r>
      <w:r w:rsidRPr="000D583E">
        <w:t xml:space="preserve">rubrique Investisseurs / Résultats </w:t>
      </w:r>
    </w:p>
    <w:p w:rsidR="0069247C" w:rsidRPr="002B3D74" w:rsidRDefault="0069247C" w:rsidP="0069247C">
      <w:pPr>
        <w:pStyle w:val="2-TEXTECOURANTcommuniqu"/>
        <w:rPr>
          <w:color w:val="FF0000"/>
        </w:rPr>
      </w:pPr>
    </w:p>
    <w:p w:rsidR="001743F4" w:rsidRPr="002B3D74" w:rsidRDefault="001743F4" w:rsidP="0069247C">
      <w:pPr>
        <w:pStyle w:val="2-TEXTECOURANTcommuniqu"/>
        <w:rPr>
          <w:color w:val="FF0000"/>
        </w:rPr>
      </w:pPr>
    </w:p>
    <w:p w:rsidR="0069247C" w:rsidRPr="002B3D74" w:rsidRDefault="0069247C" w:rsidP="0069247C">
      <w:pPr>
        <w:pStyle w:val="2-TEXTECOURANTcommuniqu"/>
        <w:rPr>
          <w:color w:val="FF0000"/>
        </w:rPr>
      </w:pPr>
    </w:p>
    <w:tbl>
      <w:tblPr>
        <w:tblStyle w:val="Grilledutableau"/>
        <w:tblW w:w="9639" w:type="dxa"/>
        <w:tblInd w:w="108" w:type="dxa"/>
        <w:tblCellMar>
          <w:left w:w="142" w:type="dxa"/>
          <w:right w:w="142" w:type="dxa"/>
        </w:tblCellMar>
        <w:tblLook w:val="04A0" w:firstRow="1" w:lastRow="0" w:firstColumn="1" w:lastColumn="0" w:noHBand="0" w:noVBand="1"/>
      </w:tblPr>
      <w:tblGrid>
        <w:gridCol w:w="9639"/>
      </w:tblGrid>
      <w:tr w:rsidR="002B3D74" w:rsidRPr="002B3D74" w:rsidTr="0032205F">
        <w:tc>
          <w:tcPr>
            <w:tcW w:w="9639" w:type="dxa"/>
            <w:tcBorders>
              <w:top w:val="nil"/>
              <w:left w:val="nil"/>
              <w:bottom w:val="nil"/>
              <w:right w:val="nil"/>
            </w:tcBorders>
            <w:shd w:val="clear" w:color="auto" w:fill="D9D9D9" w:themeFill="background1" w:themeFillShade="D9"/>
          </w:tcPr>
          <w:p w:rsidR="001743F4" w:rsidRPr="00585F1A" w:rsidRDefault="001743F4" w:rsidP="0032205F">
            <w:pPr>
              <w:pStyle w:val="2-TEXTECOURANTcommuniqu"/>
              <w:spacing w:before="240" w:after="120" w:line="240" w:lineRule="auto"/>
              <w:rPr>
                <w:b/>
                <w:sz w:val="18"/>
                <w:szCs w:val="18"/>
              </w:rPr>
            </w:pPr>
            <w:r w:rsidRPr="00585F1A">
              <w:rPr>
                <w:b/>
                <w:sz w:val="18"/>
                <w:szCs w:val="18"/>
              </w:rPr>
              <w:t xml:space="preserve">Précisions méthodologiques </w:t>
            </w:r>
          </w:p>
          <w:p w:rsidR="001B3026" w:rsidRPr="00D16A83" w:rsidRDefault="00585F1A" w:rsidP="00D16A83">
            <w:pPr>
              <w:autoSpaceDE w:val="0"/>
              <w:autoSpaceDN w:val="0"/>
              <w:adjustRightInd w:val="0"/>
              <w:rPr>
                <w:rFonts w:cs="Verdana,Italic"/>
                <w:b/>
                <w:i/>
                <w:iCs/>
                <w:sz w:val="18"/>
                <w:szCs w:val="18"/>
              </w:rPr>
            </w:pPr>
            <w:r w:rsidRPr="00D16A83">
              <w:rPr>
                <w:rFonts w:cs="Verdana,Italic"/>
                <w:b/>
                <w:i/>
                <w:iCs/>
                <w:sz w:val="18"/>
                <w:szCs w:val="18"/>
              </w:rPr>
              <w:t>Présentati</w:t>
            </w:r>
            <w:r w:rsidR="0034351D" w:rsidRPr="00D16A83">
              <w:rPr>
                <w:rFonts w:cs="Verdana,Italic"/>
                <w:b/>
                <w:i/>
                <w:iCs/>
                <w:sz w:val="18"/>
                <w:szCs w:val="18"/>
              </w:rPr>
              <w:t>on des résultats trimestriels T2</w:t>
            </w:r>
            <w:r w:rsidRPr="00D16A83">
              <w:rPr>
                <w:rFonts w:cs="Verdana,Italic"/>
                <w:b/>
                <w:i/>
                <w:iCs/>
                <w:sz w:val="18"/>
                <w:szCs w:val="18"/>
              </w:rPr>
              <w:t xml:space="preserve">-14 </w:t>
            </w:r>
            <w:r w:rsidR="0034351D" w:rsidRPr="00D16A83">
              <w:rPr>
                <w:rFonts w:cs="Verdana,Italic"/>
                <w:b/>
                <w:i/>
                <w:iCs/>
                <w:sz w:val="18"/>
                <w:szCs w:val="18"/>
              </w:rPr>
              <w:t xml:space="preserve">et S1-14 </w:t>
            </w:r>
            <w:r w:rsidRPr="00D16A83">
              <w:rPr>
                <w:rFonts w:cs="Verdana,Italic"/>
                <w:b/>
                <w:i/>
                <w:iCs/>
                <w:sz w:val="18"/>
                <w:szCs w:val="18"/>
              </w:rPr>
              <w:t>pro forma</w:t>
            </w:r>
          </w:p>
          <w:p w:rsidR="00CC244B" w:rsidRDefault="00CC244B" w:rsidP="00A25990">
            <w:pPr>
              <w:autoSpaceDE w:val="0"/>
              <w:autoSpaceDN w:val="0"/>
              <w:adjustRightInd w:val="0"/>
              <w:spacing w:line="240" w:lineRule="auto"/>
              <w:rPr>
                <w:rFonts w:cs="Verdana,Italic"/>
                <w:i/>
                <w:iCs/>
                <w:sz w:val="18"/>
                <w:szCs w:val="18"/>
              </w:rPr>
            </w:pPr>
            <w:r w:rsidRPr="0034351D">
              <w:rPr>
                <w:rFonts w:cs="Verdana,Italic"/>
                <w:i/>
                <w:iCs/>
                <w:sz w:val="18"/>
                <w:szCs w:val="18"/>
              </w:rPr>
              <w:t>L’information sectorielle a été modifiée à compter du T2-14. Le pôle Banque commerciale et Assurance comprend désormais 3 sous-pôles : les Banques Populaires, les Caisses d’Epargne et le sous-pôle Autres réseaux</w:t>
            </w:r>
            <w:r w:rsidR="00E150C3" w:rsidRPr="0034351D">
              <w:rPr>
                <w:rFonts w:cs="Verdana,Italic"/>
                <w:i/>
                <w:iCs/>
                <w:sz w:val="18"/>
                <w:szCs w:val="18"/>
              </w:rPr>
              <w:t xml:space="preserve"> (anciennement Assurance et autres réseaux)</w:t>
            </w:r>
            <w:r w:rsidRPr="0034351D">
              <w:rPr>
                <w:rFonts w:cs="Verdana,Italic"/>
                <w:i/>
                <w:iCs/>
                <w:sz w:val="18"/>
                <w:szCs w:val="18"/>
              </w:rPr>
              <w:t>, qui regroupe essentiellement les filiales Banque Palatine, BPCE IOM, Crédit Foncier et la participation minoritaire dans CNP Assurances. Par ailleurs, le sous-pôle Activités en gestion extinctive a été regroupé avec le pôle Hors métiers.</w:t>
            </w:r>
          </w:p>
          <w:p w:rsidR="00643756" w:rsidRPr="00643756" w:rsidRDefault="00643756" w:rsidP="00643756">
            <w:pPr>
              <w:autoSpaceDE w:val="0"/>
              <w:autoSpaceDN w:val="0"/>
              <w:adjustRightInd w:val="0"/>
              <w:spacing w:line="240" w:lineRule="auto"/>
              <w:rPr>
                <w:rFonts w:cs="Verdana,Italic"/>
                <w:i/>
                <w:iCs/>
                <w:sz w:val="18"/>
                <w:szCs w:val="18"/>
              </w:rPr>
            </w:pPr>
            <w:r w:rsidRPr="00643756">
              <w:rPr>
                <w:rFonts w:cs="Verdana,Italic"/>
                <w:i/>
                <w:iCs/>
                <w:sz w:val="18"/>
                <w:szCs w:val="18"/>
              </w:rPr>
              <w:t>Suite à la cession d’une partie du capital et des droits de vote, la participation résiduelle du groupe dans Nexity a été consolidée selon la méthode de mise en équivalence au 31/12/2014. Au 30/06/2015, la participation du groupe dans Nexity a été déconsolidée, des cessions complémentaires ayant été effectuées au T2-15.</w:t>
            </w:r>
          </w:p>
          <w:p w:rsidR="00CC244B" w:rsidRDefault="00CC244B" w:rsidP="00A25990">
            <w:pPr>
              <w:autoSpaceDE w:val="0"/>
              <w:autoSpaceDN w:val="0"/>
              <w:adjustRightInd w:val="0"/>
              <w:spacing w:line="240" w:lineRule="auto"/>
              <w:rPr>
                <w:rFonts w:cs="Verdana,Italic"/>
                <w:i/>
                <w:iCs/>
                <w:sz w:val="18"/>
                <w:szCs w:val="18"/>
              </w:rPr>
            </w:pPr>
            <w:r w:rsidRPr="00993749">
              <w:rPr>
                <w:rFonts w:cs="Verdana,Italic"/>
                <w:i/>
                <w:iCs/>
                <w:sz w:val="18"/>
                <w:szCs w:val="18"/>
              </w:rPr>
              <w:t>Par ailleurs, l’application des normes IFRS 10 et IFRS 11 a entraîné une évolution du périmètre de consolidation du groupe Crédit Coopératif.</w:t>
            </w:r>
          </w:p>
          <w:p w:rsidR="001B3026" w:rsidRDefault="00CC244B" w:rsidP="001B3026">
            <w:pPr>
              <w:autoSpaceDE w:val="0"/>
              <w:autoSpaceDN w:val="0"/>
              <w:adjustRightInd w:val="0"/>
              <w:spacing w:line="240" w:lineRule="auto"/>
              <w:rPr>
                <w:rFonts w:cs="Verdana,Italic"/>
                <w:i/>
                <w:iCs/>
                <w:sz w:val="18"/>
                <w:szCs w:val="18"/>
              </w:rPr>
            </w:pPr>
            <w:r w:rsidRPr="00993749">
              <w:rPr>
                <w:rFonts w:cs="Verdana,Italic"/>
                <w:i/>
                <w:iCs/>
                <w:sz w:val="18"/>
                <w:szCs w:val="18"/>
              </w:rPr>
              <w:t>L’application rétroactive de la norme IFRIC 21 au 1</w:t>
            </w:r>
            <w:r w:rsidRPr="00993749">
              <w:rPr>
                <w:rFonts w:cs="Verdana,Italic"/>
                <w:i/>
                <w:iCs/>
                <w:sz w:val="18"/>
                <w:szCs w:val="18"/>
                <w:vertAlign w:val="superscript"/>
              </w:rPr>
              <w:t>er</w:t>
            </w:r>
            <w:r w:rsidRPr="00993749">
              <w:rPr>
                <w:rFonts w:cs="Verdana,Italic"/>
                <w:i/>
                <w:iCs/>
                <w:sz w:val="18"/>
                <w:szCs w:val="18"/>
              </w:rPr>
              <w:t xml:space="preserve"> janvier 2014 conduit à prendre en totalité en charge dès le T1, les taxes et contributions payées à une autorité publique dès lors que le fait générateur intervient au T1 (celles-ci étaient auparavant généralement étalées sur l’année). </w:t>
            </w:r>
            <w:r w:rsidR="00993749" w:rsidRPr="00993749">
              <w:rPr>
                <w:rFonts w:cs="Verdana,Italic"/>
                <w:i/>
                <w:iCs/>
                <w:sz w:val="18"/>
                <w:szCs w:val="18"/>
              </w:rPr>
              <w:t>Cf. Annexe – Précisions méthodologiques.</w:t>
            </w:r>
          </w:p>
          <w:p w:rsidR="005516BB" w:rsidRPr="00EB72B5" w:rsidRDefault="005516BB" w:rsidP="005516BB">
            <w:pPr>
              <w:spacing w:line="240" w:lineRule="auto"/>
              <w:rPr>
                <w:rFonts w:cs="Verdana,Italic"/>
                <w:i/>
                <w:iCs/>
                <w:sz w:val="18"/>
                <w:szCs w:val="18"/>
              </w:rPr>
            </w:pPr>
            <w:r w:rsidRPr="00EB72B5">
              <w:rPr>
                <w:rFonts w:cs="Verdana,Italic"/>
                <w:i/>
                <w:iCs/>
                <w:sz w:val="18"/>
                <w:szCs w:val="18"/>
              </w:rPr>
              <w:t>L’allocation de fonds propres normatifs aux métiers du Groupe BPCE est réalisée depuis le T1-15 sur la base de 10 % des risques pondérés moyens en Bâle 3 (contre 9 % précédemment).</w:t>
            </w:r>
          </w:p>
          <w:p w:rsidR="005516BB" w:rsidRDefault="005516BB" w:rsidP="005516BB">
            <w:pPr>
              <w:autoSpaceDE w:val="0"/>
              <w:autoSpaceDN w:val="0"/>
              <w:adjustRightInd w:val="0"/>
              <w:spacing w:line="240" w:lineRule="auto"/>
              <w:rPr>
                <w:rFonts w:cs="Verdana,Italic"/>
                <w:i/>
                <w:iCs/>
                <w:sz w:val="18"/>
                <w:szCs w:val="18"/>
              </w:rPr>
            </w:pPr>
            <w:r w:rsidRPr="007C7726">
              <w:rPr>
                <w:rFonts w:cs="Verdana,Italic"/>
                <w:i/>
                <w:iCs/>
                <w:sz w:val="18"/>
                <w:szCs w:val="18"/>
              </w:rPr>
              <w:t>L’information sectorielle du Groupe BPCE a été retraitée en conséquence sur les périodes passées.</w:t>
            </w:r>
          </w:p>
          <w:p w:rsidR="001B3026" w:rsidRPr="00D16A83" w:rsidRDefault="00D16A83" w:rsidP="00D16A83">
            <w:pPr>
              <w:autoSpaceDE w:val="0"/>
              <w:autoSpaceDN w:val="0"/>
              <w:adjustRightInd w:val="0"/>
              <w:rPr>
                <w:rFonts w:cs="Verdana,Italic"/>
                <w:b/>
                <w:i/>
                <w:iCs/>
                <w:sz w:val="18"/>
                <w:szCs w:val="18"/>
              </w:rPr>
            </w:pPr>
            <w:r w:rsidRPr="00D16A83">
              <w:rPr>
                <w:rFonts w:cs="Verdana,Italic"/>
                <w:b/>
                <w:i/>
                <w:iCs/>
                <w:sz w:val="18"/>
                <w:szCs w:val="18"/>
              </w:rPr>
              <w:t>É</w:t>
            </w:r>
            <w:r w:rsidR="005516BB" w:rsidRPr="00D16A83">
              <w:rPr>
                <w:rFonts w:cs="Verdana,Italic"/>
                <w:b/>
                <w:i/>
                <w:iCs/>
                <w:sz w:val="18"/>
                <w:szCs w:val="18"/>
              </w:rPr>
              <w:t xml:space="preserve">léments exceptionnels </w:t>
            </w:r>
          </w:p>
          <w:p w:rsidR="005516BB" w:rsidRPr="005516BB" w:rsidRDefault="005516BB" w:rsidP="005516BB">
            <w:pPr>
              <w:autoSpaceDE w:val="0"/>
              <w:autoSpaceDN w:val="0"/>
              <w:adjustRightInd w:val="0"/>
              <w:spacing w:line="240" w:lineRule="auto"/>
              <w:rPr>
                <w:rFonts w:cs="Verdana,Italic"/>
                <w:i/>
                <w:iCs/>
                <w:sz w:val="18"/>
                <w:szCs w:val="18"/>
              </w:rPr>
            </w:pPr>
            <w:r>
              <w:rPr>
                <w:rFonts w:cs="Verdana,Italic"/>
                <w:i/>
                <w:iCs/>
                <w:sz w:val="18"/>
                <w:szCs w:val="18"/>
              </w:rPr>
              <w:t xml:space="preserve">Les données et commentaires sont basés sur les comptes de résultat du Groupe BPCE et de ses métiers retraités des éléments comptables exceptionnels détaillés en page 5 des slides de la présentation des résultats. Le passage du compte de résultat retraité au compte de résultat publié du Groupe BPCE est présenté en annexe. </w:t>
            </w:r>
          </w:p>
          <w:p w:rsidR="005516BB" w:rsidRPr="00D16A83" w:rsidRDefault="005516BB" w:rsidP="00D16A83">
            <w:pPr>
              <w:autoSpaceDE w:val="0"/>
              <w:autoSpaceDN w:val="0"/>
              <w:adjustRightInd w:val="0"/>
              <w:rPr>
                <w:rFonts w:cs="Verdana,Italic"/>
                <w:b/>
                <w:i/>
                <w:iCs/>
                <w:sz w:val="18"/>
                <w:szCs w:val="18"/>
              </w:rPr>
            </w:pPr>
            <w:r w:rsidRPr="00D16A83">
              <w:rPr>
                <w:rFonts w:cs="Verdana,Italic"/>
                <w:b/>
                <w:i/>
                <w:iCs/>
                <w:sz w:val="18"/>
                <w:szCs w:val="18"/>
              </w:rPr>
              <w:t>Ratio de levier</w:t>
            </w:r>
          </w:p>
          <w:p w:rsidR="00643756" w:rsidRDefault="005516BB" w:rsidP="00D16A83">
            <w:pPr>
              <w:autoSpaceDE w:val="0"/>
              <w:autoSpaceDN w:val="0"/>
              <w:adjustRightInd w:val="0"/>
              <w:spacing w:line="240" w:lineRule="auto"/>
              <w:rPr>
                <w:rFonts w:cs="Verdana,Italic"/>
                <w:i/>
                <w:iCs/>
                <w:sz w:val="18"/>
                <w:szCs w:val="18"/>
              </w:rPr>
            </w:pPr>
            <w:r w:rsidRPr="005516BB">
              <w:rPr>
                <w:rFonts w:cs="Verdana,Italic"/>
                <w:i/>
                <w:iCs/>
                <w:sz w:val="18"/>
                <w:szCs w:val="18"/>
              </w:rPr>
              <w:t>Le calcul du ratio de levier s’effectue selon les règles de l’Acte délégué publié par la Commission Européenne le 10 octobre 2014, sans mesures transitoires après retraitement des impôts différés actifs sur pertes reportables</w:t>
            </w:r>
            <w:r>
              <w:rPr>
                <w:rFonts w:cs="Verdana,Italic"/>
                <w:i/>
                <w:iCs/>
                <w:sz w:val="18"/>
                <w:szCs w:val="18"/>
              </w:rPr>
              <w:t>. Les opérations de financement sur titres traitées avec des chambres de compensation sont compensées en application des principes posés par IAS 32, sans prise en compte des critères de maturité et devises</w:t>
            </w:r>
            <w:r w:rsidR="00871249">
              <w:rPr>
                <w:rFonts w:cs="Verdana,Italic"/>
                <w:i/>
                <w:iCs/>
                <w:sz w:val="18"/>
                <w:szCs w:val="18"/>
              </w:rPr>
              <w:t>.</w:t>
            </w:r>
          </w:p>
          <w:p w:rsidR="001743F4" w:rsidRPr="00D16A83" w:rsidRDefault="001743F4" w:rsidP="00D16A83">
            <w:pPr>
              <w:autoSpaceDE w:val="0"/>
              <w:autoSpaceDN w:val="0"/>
              <w:adjustRightInd w:val="0"/>
              <w:spacing w:line="240" w:lineRule="auto"/>
              <w:rPr>
                <w:rFonts w:cs="Verdana,Italic"/>
                <w:i/>
                <w:iCs/>
                <w:sz w:val="18"/>
                <w:szCs w:val="18"/>
              </w:rPr>
            </w:pPr>
          </w:p>
        </w:tc>
      </w:tr>
    </w:tbl>
    <w:p w:rsidR="0069247C" w:rsidRDefault="0069247C" w:rsidP="0069247C">
      <w:pPr>
        <w:pStyle w:val="2-TEXTECOURANTcommuniqu"/>
      </w:pPr>
    </w:p>
    <w:p w:rsidR="00643756" w:rsidRDefault="00643756" w:rsidP="007108CA">
      <w:pPr>
        <w:rPr>
          <w:sz w:val="18"/>
          <w:szCs w:val="18"/>
        </w:rPr>
      </w:pPr>
    </w:p>
    <w:p w:rsidR="00643756" w:rsidRPr="00EB3E99" w:rsidRDefault="00643756" w:rsidP="007108CA">
      <w:pPr>
        <w:rPr>
          <w:sz w:val="18"/>
          <w:szCs w:val="18"/>
        </w:rPr>
      </w:pPr>
    </w:p>
    <w:p w:rsidR="007108CA" w:rsidRPr="0023398F" w:rsidRDefault="007108CA" w:rsidP="007108CA">
      <w:pPr>
        <w:pStyle w:val="7-TitreAPROPOS"/>
      </w:pPr>
      <w:r>
        <w:t>À</w:t>
      </w:r>
      <w:r w:rsidRPr="0023398F">
        <w:t xml:space="preserve"> propos</w:t>
      </w:r>
      <w:r>
        <w:t xml:space="preserve"> du Groupe BPCE</w:t>
      </w:r>
    </w:p>
    <w:p w:rsidR="007108CA" w:rsidRDefault="007108CA" w:rsidP="007108CA">
      <w:pPr>
        <w:pStyle w:val="7-APROPOS"/>
      </w:pPr>
      <w:r w:rsidRPr="00EC7529">
        <w:t>Le Groupe BPCE, deuxième groupe bancaire en France, s’appuie sur deux réseaux de banque</w:t>
      </w:r>
      <w:r w:rsidR="00324FFE">
        <w:t>s</w:t>
      </w:r>
      <w:r w:rsidRPr="00EC7529">
        <w:t xml:space="preserve"> </w:t>
      </w:r>
      <w:r w:rsidRPr="00453D34">
        <w:t>commerciale</w:t>
      </w:r>
      <w:r w:rsidR="00324FFE" w:rsidRPr="00453D34">
        <w:t>s coopératives,</w:t>
      </w:r>
      <w:r w:rsidRPr="00EC7529">
        <w:t xml:space="preserve"> autonomes </w:t>
      </w:r>
      <w:r w:rsidR="001538AF">
        <w:t>et complémentaires : celui des 18</w:t>
      </w:r>
      <w:r w:rsidRPr="00EC7529">
        <w:t xml:space="preserve"> Banques Populaires et celui des 17 Caisses d'Epargne. Dans le domaine du financement de l’immobilier, il s’appuie également sur le Crédit Foncier. Il est un acteur majeur de la banque de grande clientèle, de la gestion d’actifs et des services financiers avec Natixis. Le Groupe BPCE compte plus de 36 millions de clients et bénéficie d’une large présence en France avec 8 000 agences, 1</w:t>
      </w:r>
      <w:r w:rsidR="00053F84">
        <w:t>08</w:t>
      </w:r>
      <w:r w:rsidRPr="00EC7529">
        <w:t xml:space="preserve"> 000 collaborateurs et plus</w:t>
      </w:r>
      <w:r w:rsidR="001C5950">
        <w:t xml:space="preserve"> de </w:t>
      </w:r>
      <w:r w:rsidR="00A36083">
        <w:t>8,</w:t>
      </w:r>
      <w:r w:rsidR="00053F84">
        <w:t>9</w:t>
      </w:r>
      <w:r>
        <w:t xml:space="preserve"> millions de sociétaires.</w:t>
      </w:r>
    </w:p>
    <w:p w:rsidR="00A905D1" w:rsidRDefault="00A905D1" w:rsidP="00A905D1">
      <w:pPr>
        <w:pStyle w:val="2-TEXTECOURANTcommuniqu"/>
      </w:pPr>
    </w:p>
    <w:p w:rsidR="00A905D1" w:rsidRDefault="00A905D1" w:rsidP="00A905D1">
      <w:pPr>
        <w:pStyle w:val="2-TEXTECOURANTcommuniqu"/>
      </w:pPr>
    </w:p>
    <w:p w:rsidR="00A905D1" w:rsidRDefault="00A905D1" w:rsidP="00A905D1">
      <w:pPr>
        <w:pStyle w:val="2-TEXTECOURANTcommuniqu"/>
      </w:pPr>
    </w:p>
    <w:tbl>
      <w:tblPr>
        <w:tblW w:w="9638" w:type="dxa"/>
        <w:tblBorders>
          <w:top w:val="single" w:sz="4" w:space="0" w:color="581D74"/>
        </w:tblBorders>
        <w:tblCellMar>
          <w:top w:w="85" w:type="dxa"/>
          <w:left w:w="0" w:type="dxa"/>
          <w:right w:w="0" w:type="dxa"/>
        </w:tblCellMar>
        <w:tblLook w:val="01E0" w:firstRow="1" w:lastRow="1" w:firstColumn="1" w:lastColumn="1" w:noHBand="0" w:noVBand="0"/>
      </w:tblPr>
      <w:tblGrid>
        <w:gridCol w:w="4819"/>
        <w:gridCol w:w="4819"/>
      </w:tblGrid>
      <w:tr w:rsidR="001743F4" w:rsidRPr="008B1FF9" w:rsidTr="00E748BA">
        <w:trPr>
          <w:trHeight w:val="742"/>
        </w:trPr>
        <w:tc>
          <w:tcPr>
            <w:tcW w:w="4819" w:type="dxa"/>
            <w:tcBorders>
              <w:top w:val="single" w:sz="4" w:space="0" w:color="581D74"/>
            </w:tcBorders>
          </w:tcPr>
          <w:p w:rsidR="001743F4" w:rsidRPr="00FD1221" w:rsidRDefault="001743F4" w:rsidP="00E748BA">
            <w:pPr>
              <w:tabs>
                <w:tab w:val="left" w:pos="426"/>
              </w:tabs>
              <w:rPr>
                <w:b/>
                <w:bCs/>
                <w:color w:val="581D74"/>
                <w:sz w:val="16"/>
                <w:szCs w:val="16"/>
              </w:rPr>
            </w:pPr>
            <w:r w:rsidRPr="00FD1221">
              <w:rPr>
                <w:b/>
                <w:bCs/>
                <w:color w:val="581D74"/>
                <w:sz w:val="16"/>
                <w:szCs w:val="16"/>
              </w:rPr>
              <w:t>Contacts presse Groupe BPCE</w:t>
            </w:r>
          </w:p>
          <w:p w:rsidR="00AB7CB3" w:rsidRDefault="00AB7CB3" w:rsidP="00E748BA">
            <w:pPr>
              <w:tabs>
                <w:tab w:val="left" w:pos="426"/>
              </w:tabs>
              <w:rPr>
                <w:sz w:val="16"/>
                <w:szCs w:val="16"/>
              </w:rPr>
            </w:pPr>
            <w:r>
              <w:rPr>
                <w:sz w:val="16"/>
                <w:szCs w:val="16"/>
              </w:rPr>
              <w:t>Christophe Gilbert : 01 40 39 66 00</w:t>
            </w:r>
          </w:p>
          <w:p w:rsidR="001743F4" w:rsidRPr="005C7783" w:rsidRDefault="001743F4" w:rsidP="00E748BA">
            <w:pPr>
              <w:tabs>
                <w:tab w:val="left" w:pos="426"/>
              </w:tabs>
              <w:rPr>
                <w:sz w:val="16"/>
                <w:szCs w:val="16"/>
              </w:rPr>
            </w:pPr>
            <w:r w:rsidRPr="005C7783">
              <w:rPr>
                <w:sz w:val="16"/>
                <w:szCs w:val="16"/>
              </w:rPr>
              <w:t>Anne-Laure Declaye</w:t>
            </w:r>
            <w:r>
              <w:rPr>
                <w:sz w:val="16"/>
                <w:szCs w:val="16"/>
              </w:rPr>
              <w:t> : 01 58 40 61 79</w:t>
            </w:r>
          </w:p>
          <w:p w:rsidR="001743F4" w:rsidRPr="005C7783" w:rsidRDefault="001743F4" w:rsidP="00E748BA">
            <w:pPr>
              <w:tabs>
                <w:tab w:val="left" w:pos="426"/>
              </w:tabs>
              <w:rPr>
                <w:sz w:val="16"/>
                <w:szCs w:val="16"/>
              </w:rPr>
            </w:pPr>
            <w:r w:rsidRPr="005C7783">
              <w:rPr>
                <w:sz w:val="16"/>
                <w:szCs w:val="16"/>
              </w:rPr>
              <w:t>Marie de Clercq</w:t>
            </w:r>
            <w:r>
              <w:rPr>
                <w:sz w:val="16"/>
                <w:szCs w:val="16"/>
              </w:rPr>
              <w:t> : 01 58 40 59 26</w:t>
            </w:r>
          </w:p>
          <w:p w:rsidR="001743F4" w:rsidRDefault="001743F4" w:rsidP="00E748BA">
            <w:pPr>
              <w:tabs>
                <w:tab w:val="left" w:pos="426"/>
              </w:tabs>
              <w:spacing w:before="40"/>
              <w:rPr>
                <w:rStyle w:val="Lienhypertexte"/>
              </w:rPr>
            </w:pPr>
            <w:r w:rsidRPr="00FD1221">
              <w:rPr>
                <w:color w:val="581D74"/>
                <w:sz w:val="16"/>
                <w:szCs w:val="16"/>
              </w:rPr>
              <w:t xml:space="preserve">mail : </w:t>
            </w:r>
            <w:hyperlink r:id="rId12" w:history="1">
              <w:r w:rsidRPr="00FD1221">
                <w:rPr>
                  <w:rStyle w:val="Lienhypertexte"/>
                  <w:color w:val="581D74"/>
                  <w:sz w:val="16"/>
                  <w:szCs w:val="16"/>
                </w:rPr>
                <w:t>presse@bpce.fr</w:t>
              </w:r>
            </w:hyperlink>
          </w:p>
          <w:p w:rsidR="001743F4" w:rsidRPr="00FD1221" w:rsidRDefault="001743F4" w:rsidP="00E748BA">
            <w:pPr>
              <w:tabs>
                <w:tab w:val="left" w:pos="426"/>
              </w:tabs>
              <w:rPr>
                <w:color w:val="581D74"/>
                <w:sz w:val="16"/>
                <w:szCs w:val="16"/>
              </w:rPr>
            </w:pPr>
          </w:p>
        </w:tc>
        <w:tc>
          <w:tcPr>
            <w:tcW w:w="4819" w:type="dxa"/>
            <w:tcBorders>
              <w:top w:val="single" w:sz="4" w:space="0" w:color="581D74"/>
            </w:tcBorders>
          </w:tcPr>
          <w:p w:rsidR="001743F4" w:rsidRPr="00FD1221" w:rsidRDefault="001743F4" w:rsidP="00E748BA">
            <w:pPr>
              <w:tabs>
                <w:tab w:val="left" w:pos="426"/>
              </w:tabs>
              <w:ind w:right="403"/>
              <w:rPr>
                <w:b/>
                <w:bCs/>
                <w:color w:val="581D74"/>
                <w:sz w:val="16"/>
                <w:szCs w:val="16"/>
              </w:rPr>
            </w:pPr>
            <w:r w:rsidRPr="00FD1221">
              <w:rPr>
                <w:b/>
                <w:bCs/>
                <w:color w:val="581D74"/>
                <w:sz w:val="16"/>
                <w:szCs w:val="16"/>
              </w:rPr>
              <w:t>Relations investisseurs BPCE</w:t>
            </w:r>
          </w:p>
          <w:p w:rsidR="001743F4" w:rsidRPr="00FD1221" w:rsidRDefault="001743F4" w:rsidP="00E748BA">
            <w:pPr>
              <w:tabs>
                <w:tab w:val="left" w:pos="426"/>
              </w:tabs>
              <w:spacing w:before="80"/>
              <w:rPr>
                <w:sz w:val="16"/>
                <w:szCs w:val="16"/>
              </w:rPr>
            </w:pPr>
            <w:r w:rsidRPr="00FD1221">
              <w:rPr>
                <w:sz w:val="16"/>
                <w:szCs w:val="16"/>
              </w:rPr>
              <w:t>Roland Charbonnel : 01 58 40 69 30</w:t>
            </w:r>
          </w:p>
          <w:p w:rsidR="001743F4" w:rsidRPr="00FD1221" w:rsidRDefault="001743F4" w:rsidP="00E748BA">
            <w:pPr>
              <w:tabs>
                <w:tab w:val="left" w:pos="426"/>
              </w:tabs>
              <w:ind w:right="401"/>
              <w:rPr>
                <w:sz w:val="16"/>
                <w:szCs w:val="16"/>
                <w:lang w:val="en-GB"/>
              </w:rPr>
            </w:pPr>
            <w:r w:rsidRPr="00FD1221">
              <w:rPr>
                <w:sz w:val="16"/>
                <w:szCs w:val="16"/>
                <w:lang w:val="en-GB"/>
              </w:rPr>
              <w:t xml:space="preserve">Evelyne </w:t>
            </w:r>
            <w:proofErr w:type="spellStart"/>
            <w:r w:rsidRPr="00FD1221">
              <w:rPr>
                <w:sz w:val="16"/>
                <w:szCs w:val="16"/>
                <w:lang w:val="en-GB"/>
              </w:rPr>
              <w:t>Etcheverry</w:t>
            </w:r>
            <w:proofErr w:type="spellEnd"/>
            <w:r w:rsidRPr="00FD1221">
              <w:rPr>
                <w:sz w:val="16"/>
                <w:szCs w:val="16"/>
                <w:lang w:val="en-GB"/>
              </w:rPr>
              <w:t xml:space="preserve"> : 01 58 40 57 46</w:t>
            </w:r>
          </w:p>
          <w:p w:rsidR="001743F4" w:rsidRPr="005C5E9E" w:rsidRDefault="001743F4" w:rsidP="00E748BA">
            <w:pPr>
              <w:tabs>
                <w:tab w:val="left" w:pos="426"/>
              </w:tabs>
              <w:spacing w:before="40"/>
              <w:ind w:right="403"/>
              <w:rPr>
                <w:u w:val="single"/>
                <w:lang w:val="en-US"/>
              </w:rPr>
            </w:pPr>
            <w:r w:rsidRPr="005C5E9E">
              <w:rPr>
                <w:color w:val="581D74"/>
                <w:sz w:val="16"/>
                <w:szCs w:val="16"/>
                <w:lang w:val="en-US"/>
              </w:rPr>
              <w:t xml:space="preserve">mail : </w:t>
            </w:r>
            <w:hyperlink r:id="rId13" w:history="1">
              <w:r w:rsidRPr="005C5E9E">
                <w:rPr>
                  <w:rStyle w:val="Lienhypertexte"/>
                  <w:color w:val="581D74"/>
                  <w:sz w:val="16"/>
                  <w:szCs w:val="16"/>
                  <w:lang w:val="en-US"/>
                </w:rPr>
                <w:t>investor.relations@bpce.fr</w:t>
              </w:r>
            </w:hyperlink>
          </w:p>
        </w:tc>
      </w:tr>
      <w:tr w:rsidR="001743F4" w:rsidRPr="00FD1221" w:rsidTr="00E748BA">
        <w:tblPrEx>
          <w:tblCellMar>
            <w:top w:w="0" w:type="dxa"/>
          </w:tblCellMar>
        </w:tblPrEx>
        <w:trPr>
          <w:trHeight w:val="283"/>
        </w:trPr>
        <w:tc>
          <w:tcPr>
            <w:tcW w:w="4819" w:type="dxa"/>
            <w:tcBorders>
              <w:top w:val="nil"/>
            </w:tcBorders>
            <w:shd w:val="clear" w:color="auto" w:fill="D9D9D9" w:themeFill="background1" w:themeFillShade="D9"/>
            <w:vAlign w:val="center"/>
          </w:tcPr>
          <w:p w:rsidR="001743F4" w:rsidRPr="00FD1221" w:rsidRDefault="00A92C86" w:rsidP="00E748BA">
            <w:pPr>
              <w:tabs>
                <w:tab w:val="left" w:pos="7185"/>
              </w:tabs>
              <w:ind w:left="142"/>
              <w:jc w:val="left"/>
              <w:rPr>
                <w:color w:val="581D74"/>
              </w:rPr>
            </w:pPr>
            <w:hyperlink r:id="rId14" w:history="1">
              <w:r w:rsidR="001743F4" w:rsidRPr="00FD1221">
                <w:rPr>
                  <w:rStyle w:val="Lienhypertexte"/>
                  <w:b/>
                  <w:bCs/>
                  <w:sz w:val="16"/>
                  <w:szCs w:val="16"/>
                </w:rPr>
                <w:t>www.bpce.fr</w:t>
              </w:r>
            </w:hyperlink>
          </w:p>
        </w:tc>
        <w:tc>
          <w:tcPr>
            <w:tcW w:w="4819" w:type="dxa"/>
            <w:tcBorders>
              <w:top w:val="nil"/>
            </w:tcBorders>
            <w:shd w:val="clear" w:color="auto" w:fill="D9D9D9" w:themeFill="background1" w:themeFillShade="D9"/>
            <w:vAlign w:val="center"/>
          </w:tcPr>
          <w:p w:rsidR="001743F4" w:rsidRPr="00FD1221" w:rsidRDefault="001743F4" w:rsidP="00E748BA">
            <w:pPr>
              <w:tabs>
                <w:tab w:val="left" w:pos="7185"/>
              </w:tabs>
              <w:ind w:left="76"/>
              <w:jc w:val="left"/>
            </w:pPr>
            <w:r>
              <w:rPr>
                <w:noProof/>
              </w:rPr>
              <mc:AlternateContent>
                <mc:Choice Requires="wps">
                  <w:drawing>
                    <wp:anchor distT="0" distB="0" distL="114300" distR="36195" simplePos="0" relativeHeight="251662336" behindDoc="0" locked="0" layoutInCell="1" allowOverlap="1" wp14:anchorId="20744E9A" wp14:editId="28F81D59">
                      <wp:simplePos x="0" y="0"/>
                      <wp:positionH relativeFrom="column">
                        <wp:posOffset>46990</wp:posOffset>
                      </wp:positionH>
                      <wp:positionV relativeFrom="paragraph">
                        <wp:posOffset>0</wp:posOffset>
                      </wp:positionV>
                      <wp:extent cx="172720" cy="144145"/>
                      <wp:effectExtent l="0" t="0" r="0" b="8255"/>
                      <wp:wrapSquare wrapText="bothSides"/>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720" cy="144145"/>
                              </a:xfrm>
                              <a:custGeom>
                                <a:avLst/>
                                <a:gdLst>
                                  <a:gd name="T0" fmla="*/ 73 w 73"/>
                                  <a:gd name="T1" fmla="*/ 7 h 60"/>
                                  <a:gd name="T2" fmla="*/ 64 w 73"/>
                                  <a:gd name="T3" fmla="*/ 9 h 60"/>
                                  <a:gd name="T4" fmla="*/ 71 w 73"/>
                                  <a:gd name="T5" fmla="*/ 1 h 60"/>
                                  <a:gd name="T6" fmla="*/ 62 w 73"/>
                                  <a:gd name="T7" fmla="*/ 5 h 60"/>
                                  <a:gd name="T8" fmla="*/ 51 w 73"/>
                                  <a:gd name="T9" fmla="*/ 0 h 60"/>
                                  <a:gd name="T10" fmla="*/ 36 w 73"/>
                                  <a:gd name="T11" fmla="*/ 15 h 60"/>
                                  <a:gd name="T12" fmla="*/ 36 w 73"/>
                                  <a:gd name="T13" fmla="*/ 18 h 60"/>
                                  <a:gd name="T14" fmla="*/ 5 w 73"/>
                                  <a:gd name="T15" fmla="*/ 3 h 60"/>
                                  <a:gd name="T16" fmla="*/ 3 w 73"/>
                                  <a:gd name="T17" fmla="*/ 10 h 60"/>
                                  <a:gd name="T18" fmla="*/ 10 w 73"/>
                                  <a:gd name="T19" fmla="*/ 23 h 60"/>
                                  <a:gd name="T20" fmla="*/ 3 w 73"/>
                                  <a:gd name="T21" fmla="*/ 21 h 60"/>
                                  <a:gd name="T22" fmla="*/ 3 w 73"/>
                                  <a:gd name="T23" fmla="*/ 21 h 60"/>
                                  <a:gd name="T24" fmla="*/ 15 w 73"/>
                                  <a:gd name="T25" fmla="*/ 36 h 60"/>
                                  <a:gd name="T26" fmla="*/ 11 w 73"/>
                                  <a:gd name="T27" fmla="*/ 36 h 60"/>
                                  <a:gd name="T28" fmla="*/ 8 w 73"/>
                                  <a:gd name="T29" fmla="*/ 36 h 60"/>
                                  <a:gd name="T30" fmla="*/ 22 w 73"/>
                                  <a:gd name="T31" fmla="*/ 47 h 60"/>
                                  <a:gd name="T32" fmla="*/ 3 w 73"/>
                                  <a:gd name="T33" fmla="*/ 53 h 60"/>
                                  <a:gd name="T34" fmla="*/ 0 w 73"/>
                                  <a:gd name="T35" fmla="*/ 53 h 60"/>
                                  <a:gd name="T36" fmla="*/ 23 w 73"/>
                                  <a:gd name="T37" fmla="*/ 60 h 60"/>
                                  <a:gd name="T38" fmla="*/ 66 w 73"/>
                                  <a:gd name="T39" fmla="*/ 17 h 60"/>
                                  <a:gd name="T40" fmla="*/ 66 w 73"/>
                                  <a:gd name="T41" fmla="*/ 15 h 60"/>
                                  <a:gd name="T42" fmla="*/ 73 w 73"/>
                                  <a:gd name="T43" fmla="*/ 7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3" h="60">
                                    <a:moveTo>
                                      <a:pt x="73" y="7"/>
                                    </a:moveTo>
                                    <a:cubicBezTo>
                                      <a:pt x="70" y="8"/>
                                      <a:pt x="67" y="9"/>
                                      <a:pt x="64" y="9"/>
                                    </a:cubicBezTo>
                                    <a:cubicBezTo>
                                      <a:pt x="68" y="8"/>
                                      <a:pt x="70" y="5"/>
                                      <a:pt x="71" y="1"/>
                                    </a:cubicBezTo>
                                    <a:cubicBezTo>
                                      <a:pt x="68" y="3"/>
                                      <a:pt x="65" y="4"/>
                                      <a:pt x="62" y="5"/>
                                    </a:cubicBezTo>
                                    <a:cubicBezTo>
                                      <a:pt x="59" y="2"/>
                                      <a:pt x="55" y="0"/>
                                      <a:pt x="51" y="0"/>
                                    </a:cubicBezTo>
                                    <a:cubicBezTo>
                                      <a:pt x="42" y="0"/>
                                      <a:pt x="36" y="7"/>
                                      <a:pt x="36" y="15"/>
                                    </a:cubicBezTo>
                                    <a:cubicBezTo>
                                      <a:pt x="36" y="16"/>
                                      <a:pt x="36" y="17"/>
                                      <a:pt x="36" y="18"/>
                                    </a:cubicBezTo>
                                    <a:cubicBezTo>
                                      <a:pt x="23" y="18"/>
                                      <a:pt x="12" y="12"/>
                                      <a:pt x="5" y="3"/>
                                    </a:cubicBezTo>
                                    <a:cubicBezTo>
                                      <a:pt x="4" y="5"/>
                                      <a:pt x="3" y="8"/>
                                      <a:pt x="3" y="10"/>
                                    </a:cubicBezTo>
                                    <a:cubicBezTo>
                                      <a:pt x="3" y="16"/>
                                      <a:pt x="6" y="20"/>
                                      <a:pt x="10" y="23"/>
                                    </a:cubicBezTo>
                                    <a:cubicBezTo>
                                      <a:pt x="7" y="23"/>
                                      <a:pt x="5" y="22"/>
                                      <a:pt x="3" y="21"/>
                                    </a:cubicBezTo>
                                    <a:cubicBezTo>
                                      <a:pt x="3" y="21"/>
                                      <a:pt x="3" y="21"/>
                                      <a:pt x="3" y="21"/>
                                    </a:cubicBezTo>
                                    <a:cubicBezTo>
                                      <a:pt x="3" y="28"/>
                                      <a:pt x="8" y="34"/>
                                      <a:pt x="15" y="36"/>
                                    </a:cubicBezTo>
                                    <a:cubicBezTo>
                                      <a:pt x="14" y="36"/>
                                      <a:pt x="12" y="36"/>
                                      <a:pt x="11" y="36"/>
                                    </a:cubicBezTo>
                                    <a:cubicBezTo>
                                      <a:pt x="10" y="36"/>
                                      <a:pt x="9" y="36"/>
                                      <a:pt x="8" y="36"/>
                                    </a:cubicBezTo>
                                    <a:cubicBezTo>
                                      <a:pt x="10" y="42"/>
                                      <a:pt x="16" y="46"/>
                                      <a:pt x="22" y="47"/>
                                    </a:cubicBezTo>
                                    <a:cubicBezTo>
                                      <a:pt x="17" y="51"/>
                                      <a:pt x="10" y="53"/>
                                      <a:pt x="3" y="53"/>
                                    </a:cubicBezTo>
                                    <a:cubicBezTo>
                                      <a:pt x="2" y="53"/>
                                      <a:pt x="1" y="53"/>
                                      <a:pt x="0" y="53"/>
                                    </a:cubicBezTo>
                                    <a:cubicBezTo>
                                      <a:pt x="7" y="57"/>
                                      <a:pt x="14" y="60"/>
                                      <a:pt x="23" y="60"/>
                                    </a:cubicBezTo>
                                    <a:cubicBezTo>
                                      <a:pt x="51" y="60"/>
                                      <a:pt x="66" y="37"/>
                                      <a:pt x="66" y="17"/>
                                    </a:cubicBezTo>
                                    <a:cubicBezTo>
                                      <a:pt x="66" y="16"/>
                                      <a:pt x="66" y="15"/>
                                      <a:pt x="66" y="15"/>
                                    </a:cubicBezTo>
                                    <a:cubicBezTo>
                                      <a:pt x="69" y="13"/>
                                      <a:pt x="71" y="10"/>
                                      <a:pt x="73" y="7"/>
                                    </a:cubicBezTo>
                                    <a:close/>
                                  </a:path>
                                </a:pathLst>
                              </a:custGeom>
                              <a:solidFill>
                                <a:srgbClr val="00B0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3.7pt;margin-top:0;width:13.6pt;height:11.35pt;z-index:251662336;visibility:visible;mso-wrap-style:square;mso-width-percent:0;mso-height-percent:0;mso-wrap-distance-left:9pt;mso-wrap-distance-top:0;mso-wrap-distance-right:2.85pt;mso-wrap-distance-bottom:0;mso-position-horizontal:absolute;mso-position-horizontal-relative:text;mso-position-vertical:absolute;mso-position-vertical-relative:text;mso-width-percent:0;mso-height-percent:0;mso-width-relative:page;mso-height-relative:page;v-text-anchor:top" coordsize="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ifeAUAAO8VAAAOAAAAZHJzL2Uyb0RvYy54bWysWNtu4zYQfS/QfxD0WKCxKclyYsRZdHeR&#10;osC2XWDTD6Bl2RYqiyopx8l+/c7wIg9dOuYWfbElang4c2Z4RuL9u5d9mzzXUjWiW6bsZpomdVeJ&#10;ddNtl+lfT48/36aJGni35q3o6mX6Wqv03cOPP9wf+0WdiZ1o17VMAKRTi2O/THfD0C8mE1Xt6j1X&#10;N6KvO3i4EXLPB7iV28la8iOg79tJNp2Wk6OQ616KqlYKRj+ah+mDxt9s6mr4c7NR9ZC0yxR8G/Sv&#10;1L8r/J083PPFVvJ+11TWDf4fvNjzpoNFR6iPfODJQTb/gto3lRRKbIabSuwnYrNpqlrHANGw6Vk0&#10;X3a8r3UsQI7qR5rU/wdb/fH8WSbNepmWadLxPaToUdY1Ep7cITvHXi3A6Ev/WWJ8qv8kqr8VPJh4&#10;T/BGgU2yOv4u1oDCD4PQjLxs5B5nQqzJiyb+dSS+fhmSCgbZPJtnkJ4KHrGiYMUMl57whZtcHdTw&#10;ay00EH/+pAaTtzVcadbX1vcnANnsW0jhT5NknidH+LE5Hk0YNUl2SemqYLTIiEVZBEFyYnIXBCmI&#10;xZwFQWbEhAVBICljOGUWBJkTk1kQBLbgCDILe3JHTKZBEEaZzcugK4xSy8LOMEruJRzKLrsN+0P5&#10;nYXdofzmYRRK8IVyoQSzC+RQisEmWHaU4yzsDu6BMVVhdzLKcRaumszjOOhNRim+BEMphnSGoso8&#10;jssgyRklmYULMKMsQ1kEtyVl+TbsDiX5AkxOSc7CmyqnLBfzoDv5dZZzyvIsnPOcshwunZySfAmG&#10;kgzlFUpWTkkuw6WcU5LL8D7PKcsszE5BWb6AU1CWL+hFQVm+oOgFpfnkDvSPresQfOeaRvXS2a4B&#10;VwnH95SpblS9UNigsIVAG3pitgWBFbaYC8bgHRrrJgPrvW0MmUZj19zeNoZ8ovE8yg1IGhrrjn3V&#10;DZRytAa5Nl32bUdQsbV5XJDMRsniwmQ2ThYXKLORsrhQUVDRd1DNmFBROLV5XKiZDRVEMArdhgpa&#10;F2VuQ83iQkVZQ99BumLQUb20eVyoqFLaPC7U3IYKihPljA0VhCXGHLUFnQH9iDK3oYJMEHOzTawU&#10;SPhQOP9EkGkCnwgrnMMXPR9QQdxlclym8GaZ7OC92ajHXjzXT0I/H1BG8Cn46OI/Pa4Oq6Z6X3/1&#10;jE1At3YtDVCCWAOAZgTWN2MmCyNLHlQIuDTEesBzs5hOpAOegxLDYiOfscCaUQdSQpsCkMKLwnA/&#10;Vs1V4Bn0FgDJKMjMANv3dEPFzHisxzCVV4GxkQCwB2LLVCfJRWHHTvJ1FdnNKKnPbjCIrfMR5TW+&#10;p2FivAxaRYY/U5u6NgxHY4lf9dqUklcFZi1vKbt8PM12gseFEQPQYuKubUIQHwxGUWH2g5ngkmWC&#10;BtkmyMaDk+JfZYJOcMDXxqI8tiAeoWZDgpwSj6HWMMlQMrFc2CZrZjifbVmcDZp98j3YRh98GLMr&#10;/TEbynd4bZBhJ9LgTXUUXsXYRlw4+by+vZkpD5AFim2lzpMpk5VZfOFZCfNADKsGxPFPF4uqD+uy&#10;JxE2s+5QwoidVQEzGAVt5dGHKQ3Vpik7r+0g8BdbfG6GlzE36AmKNxjld2kKjXlku+7kCchZgz2r&#10;kFao2sSDnVsrzNjCtSOn8yQl2mb92LQtNm8lt6sPrUyeOR4YTt9PH530eWat/iboBE4zy+CIPhLD&#10;UzBzbLYS61c4EZPCnDrCKSlc7IT8miZHOHFcpuqfA5d1mrS/dXCkdwcnX1BCg74pZvpATNInK/qE&#10;dxVALdMhhW8YvPwwmGPNQy+b7Q5WYvqrphO/wEncpsETM+2f8crewKmi5saegOKxJb3XVqdz2odv&#10;AAAA//8DAFBLAwQUAAYACAAAACEAFSaRbdgAAAAEAQAADwAAAGRycy9kb3ducmV2LnhtbEyPwU7D&#10;MBBE70j8g7VI3KhDmjYoxKkQAg7cKP0AN97GUex1FLtN+vcsJziOZjTzpt4t3okLTrEPpOBxlYFA&#10;aoPpqVNw+H5/eAIRkyajXSBUcMUIu+b2ptaVCTN94WWfOsElFCutwKY0VlLG1qLXcRVGJPZOYfI6&#10;sZw6aSY9c7l3Ms+yrfS6J16wesRXi+2wP3veHcqTdFf7OXzMxfqweZObGaVS93fLyzOIhEv6C8Mv&#10;PqNDw0zHcCYThVNQFhxUwH/YXBdbEEcFeV6CbGr5H775AQAA//8DAFBLAQItABQABgAIAAAAIQC2&#10;gziS/gAAAOEBAAATAAAAAAAAAAAAAAAAAAAAAABbQ29udGVudF9UeXBlc10ueG1sUEsBAi0AFAAG&#10;AAgAAAAhADj9If/WAAAAlAEAAAsAAAAAAAAAAAAAAAAALwEAAF9yZWxzLy5yZWxzUEsBAi0AFAAG&#10;AAgAAAAhAFVc6J94BQAA7xUAAA4AAAAAAAAAAAAAAAAALgIAAGRycy9lMm9Eb2MueG1sUEsBAi0A&#10;FAAGAAgAAAAhABUmkW3YAAAABAEAAA8AAAAAAAAAAAAAAAAA0gcAAGRycy9kb3ducmV2LnhtbFBL&#10;BQYAAAAABAAEAPMAAADXCAAAAAA=&#10;" path="m73,7c70,8,67,9,64,9,68,8,70,5,71,1,68,3,65,4,62,5,59,2,55,,51,,42,,36,7,36,15v,1,,2,,3c23,18,12,12,5,3,4,5,3,8,3,10v,6,3,10,7,13c7,23,5,22,3,21v,,,,,c3,28,8,34,15,36v-1,,-3,,-4,c10,36,9,36,8,36v2,6,8,10,14,11c17,51,10,53,3,53v-1,,-2,,-3,c7,57,14,60,23,60,51,60,66,37,66,17v,-1,,-2,,-2c69,13,71,10,73,7xe" fillcolor="#00b0f0" stroked="f">
                      <v:path arrowok="t" o:connecttype="custom" o:connectlocs="172720,16817;151426,21622;167988,2402;146694,12012;120667,0;85177,36036;85177,43244;11830,7207;7098,24024;23660,55256;7098,50451;7098,50451;35490,86487;26026,86487;18928,86487;52053,112914;7098,127328;0,127328;54419,144145;156158,40841;156158,36036;172720,16817" o:connectangles="0,0,0,0,0,0,0,0,0,0,0,0,0,0,0,0,0,0,0,0,0,0"/>
                      <w10:wrap type="square"/>
                    </v:shape>
                  </w:pict>
                </mc:Fallback>
              </mc:AlternateContent>
            </w:r>
            <w:r w:rsidRPr="00FD1221">
              <w:rPr>
                <w:iCs/>
                <w:sz w:val="16"/>
                <w:szCs w:val="16"/>
              </w:rPr>
              <w:t xml:space="preserve"> </w:t>
            </w:r>
            <w:hyperlink r:id="rId15" w:history="1">
              <w:r w:rsidRPr="00FD1221">
                <w:rPr>
                  <w:rStyle w:val="Lienhypertexte"/>
                  <w:iCs/>
                  <w:sz w:val="16"/>
                  <w:szCs w:val="16"/>
                </w:rPr>
                <w:t>@</w:t>
              </w:r>
              <w:proofErr w:type="spellStart"/>
              <w:r w:rsidRPr="00FD1221">
                <w:rPr>
                  <w:rStyle w:val="Lienhypertexte"/>
                  <w:iCs/>
                  <w:sz w:val="16"/>
                  <w:szCs w:val="16"/>
                </w:rPr>
                <w:t>GroupeBPCE</w:t>
              </w:r>
              <w:proofErr w:type="spellEnd"/>
            </w:hyperlink>
          </w:p>
        </w:tc>
      </w:tr>
    </w:tbl>
    <w:p w:rsidR="00796209" w:rsidRPr="001743F4" w:rsidRDefault="00796209" w:rsidP="00B37D87"/>
    <w:sectPr w:rsidR="00796209" w:rsidRPr="001743F4" w:rsidSect="00070E7E">
      <w:headerReference w:type="default" r:id="rId16"/>
      <w:footerReference w:type="default" r:id="rId17"/>
      <w:headerReference w:type="first" r:id="rId18"/>
      <w:footerReference w:type="first" r:id="rId19"/>
      <w:type w:val="continuous"/>
      <w:pgSz w:w="11906" w:h="16838" w:code="9"/>
      <w:pgMar w:top="851" w:right="1134" w:bottom="397" w:left="1134" w:header="1134" w:footer="318"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C86" w:rsidRDefault="00A92C86">
      <w:r>
        <w:separator/>
      </w:r>
    </w:p>
  </w:endnote>
  <w:endnote w:type="continuationSeparator" w:id="0">
    <w:p w:rsidR="00A92C86" w:rsidRDefault="00A9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Verdana,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1E0" w:firstRow="1" w:lastRow="1" w:firstColumn="1" w:lastColumn="1" w:noHBand="0" w:noVBand="0"/>
    </w:tblPr>
    <w:tblGrid>
      <w:gridCol w:w="4832"/>
      <w:gridCol w:w="4806"/>
    </w:tblGrid>
    <w:tr w:rsidR="00A92C86" w:rsidTr="00E748BA">
      <w:tc>
        <w:tcPr>
          <w:tcW w:w="4832" w:type="dxa"/>
          <w:shd w:val="clear" w:color="auto" w:fill="auto"/>
        </w:tcPr>
        <w:p w:rsidR="00A92C86" w:rsidRPr="00E01572" w:rsidRDefault="00A92C86" w:rsidP="00E748BA">
          <w:pPr>
            <w:pStyle w:val="Pieddepage"/>
            <w:tabs>
              <w:tab w:val="clear" w:pos="4536"/>
              <w:tab w:val="clear" w:pos="9072"/>
              <w:tab w:val="right" w:pos="9638"/>
            </w:tabs>
            <w:spacing w:before="120" w:line="340" w:lineRule="atLeast"/>
            <w:rPr>
              <w:color w:val="581D74"/>
              <w:sz w:val="16"/>
              <w:szCs w:val="16"/>
            </w:rPr>
          </w:pPr>
        </w:p>
      </w:tc>
      <w:tc>
        <w:tcPr>
          <w:tcW w:w="4806" w:type="dxa"/>
          <w:shd w:val="clear" w:color="auto" w:fill="auto"/>
          <w:vAlign w:val="bottom"/>
        </w:tcPr>
        <w:p w:rsidR="00A92C86" w:rsidRPr="003924AC" w:rsidRDefault="00A92C86" w:rsidP="00E748BA">
          <w:pPr>
            <w:pStyle w:val="Pieddepage"/>
            <w:tabs>
              <w:tab w:val="clear" w:pos="4536"/>
              <w:tab w:val="clear" w:pos="9072"/>
              <w:tab w:val="right" w:pos="9638"/>
            </w:tabs>
            <w:spacing w:before="120" w:line="340" w:lineRule="atLeast"/>
            <w:jc w:val="right"/>
            <w:rPr>
              <w:color w:val="581D74"/>
              <w:sz w:val="16"/>
              <w:szCs w:val="16"/>
            </w:rPr>
          </w:pPr>
          <w:r w:rsidRPr="003924AC">
            <w:rPr>
              <w:rStyle w:val="Numrodepage"/>
              <w:color w:val="A778AE" w:themeColor="accent2"/>
              <w:sz w:val="16"/>
              <w:szCs w:val="16"/>
            </w:rPr>
            <w:fldChar w:fldCharType="begin"/>
          </w:r>
          <w:r w:rsidRPr="003924AC">
            <w:rPr>
              <w:rStyle w:val="Numrodepage"/>
              <w:color w:val="A778AE" w:themeColor="accent2"/>
              <w:sz w:val="16"/>
              <w:szCs w:val="16"/>
            </w:rPr>
            <w:instrText xml:space="preserve"> PAGE </w:instrText>
          </w:r>
          <w:r w:rsidRPr="003924AC">
            <w:rPr>
              <w:rStyle w:val="Numrodepage"/>
              <w:color w:val="A778AE" w:themeColor="accent2"/>
              <w:sz w:val="16"/>
              <w:szCs w:val="16"/>
            </w:rPr>
            <w:fldChar w:fldCharType="separate"/>
          </w:r>
          <w:r w:rsidR="008907D1">
            <w:rPr>
              <w:rStyle w:val="Numrodepage"/>
              <w:noProof/>
              <w:color w:val="A778AE" w:themeColor="accent2"/>
              <w:sz w:val="16"/>
              <w:szCs w:val="16"/>
            </w:rPr>
            <w:t>8</w:t>
          </w:r>
          <w:r w:rsidRPr="003924AC">
            <w:rPr>
              <w:rStyle w:val="Numrodepage"/>
              <w:color w:val="A778AE" w:themeColor="accent2"/>
              <w:sz w:val="16"/>
              <w:szCs w:val="16"/>
            </w:rPr>
            <w:fldChar w:fldCharType="end"/>
          </w:r>
          <w:r w:rsidRPr="003924AC">
            <w:rPr>
              <w:rStyle w:val="Numrodepage"/>
              <w:color w:val="581D74"/>
              <w:sz w:val="16"/>
              <w:szCs w:val="16"/>
            </w:rPr>
            <w:t>|</w:t>
          </w:r>
          <w:r w:rsidRPr="003924AC">
            <w:rPr>
              <w:rStyle w:val="Numrodepage"/>
              <w:color w:val="581D74"/>
              <w:sz w:val="16"/>
              <w:szCs w:val="16"/>
            </w:rPr>
            <w:fldChar w:fldCharType="begin"/>
          </w:r>
          <w:r w:rsidRPr="003924AC">
            <w:rPr>
              <w:rStyle w:val="Numrodepage"/>
              <w:color w:val="581D74"/>
              <w:sz w:val="16"/>
              <w:szCs w:val="16"/>
            </w:rPr>
            <w:instrText xml:space="preserve"> NUMPAGES </w:instrText>
          </w:r>
          <w:r w:rsidRPr="003924AC">
            <w:rPr>
              <w:rStyle w:val="Numrodepage"/>
              <w:color w:val="581D74"/>
              <w:sz w:val="16"/>
              <w:szCs w:val="16"/>
            </w:rPr>
            <w:fldChar w:fldCharType="separate"/>
          </w:r>
          <w:r w:rsidR="008907D1">
            <w:rPr>
              <w:rStyle w:val="Numrodepage"/>
              <w:noProof/>
              <w:color w:val="581D74"/>
              <w:sz w:val="16"/>
              <w:szCs w:val="16"/>
            </w:rPr>
            <w:t>18</w:t>
          </w:r>
          <w:r w:rsidRPr="003924AC">
            <w:rPr>
              <w:rStyle w:val="Numrodepage"/>
              <w:color w:val="581D74"/>
              <w:sz w:val="16"/>
              <w:szCs w:val="16"/>
            </w:rPr>
            <w:fldChar w:fldCharType="end"/>
          </w:r>
          <w:r w:rsidRPr="003924AC">
            <w:rPr>
              <w:rStyle w:val="Numrodepage"/>
              <w:color w:val="581D74"/>
              <w:sz w:val="16"/>
              <w:szCs w:val="16"/>
            </w:rPr>
            <w:t xml:space="preserve"> </w:t>
          </w:r>
        </w:p>
      </w:tc>
    </w:tr>
  </w:tbl>
  <w:p w:rsidR="00A92C86" w:rsidRPr="003924AC" w:rsidRDefault="00A92C86" w:rsidP="003924AC">
    <w:pPr>
      <w:pStyle w:val="Pieddepage"/>
      <w:rPr>
        <w:sz w:val="6"/>
        <w:szCs w:val="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1E0" w:firstRow="1" w:lastRow="1" w:firstColumn="1" w:lastColumn="1" w:noHBand="0" w:noVBand="0"/>
    </w:tblPr>
    <w:tblGrid>
      <w:gridCol w:w="4832"/>
      <w:gridCol w:w="4806"/>
    </w:tblGrid>
    <w:tr w:rsidR="00A92C86" w:rsidTr="00E748BA">
      <w:tc>
        <w:tcPr>
          <w:tcW w:w="4832" w:type="dxa"/>
          <w:shd w:val="clear" w:color="auto" w:fill="auto"/>
        </w:tcPr>
        <w:p w:rsidR="00A92C86" w:rsidRPr="00E01572" w:rsidRDefault="00A92C86" w:rsidP="00E748BA">
          <w:pPr>
            <w:pStyle w:val="Pieddepage"/>
            <w:tabs>
              <w:tab w:val="clear" w:pos="4536"/>
              <w:tab w:val="clear" w:pos="9072"/>
              <w:tab w:val="right" w:pos="9638"/>
            </w:tabs>
            <w:spacing w:before="120" w:line="340" w:lineRule="atLeast"/>
            <w:rPr>
              <w:color w:val="581D74"/>
              <w:sz w:val="16"/>
              <w:szCs w:val="16"/>
            </w:rPr>
          </w:pPr>
        </w:p>
      </w:tc>
      <w:tc>
        <w:tcPr>
          <w:tcW w:w="4806" w:type="dxa"/>
          <w:shd w:val="clear" w:color="auto" w:fill="auto"/>
          <w:vAlign w:val="bottom"/>
        </w:tcPr>
        <w:p w:rsidR="00A92C86" w:rsidRPr="003924AC" w:rsidRDefault="00A92C86" w:rsidP="00E748BA">
          <w:pPr>
            <w:pStyle w:val="Pieddepage"/>
            <w:tabs>
              <w:tab w:val="clear" w:pos="4536"/>
              <w:tab w:val="clear" w:pos="9072"/>
              <w:tab w:val="right" w:pos="9638"/>
            </w:tabs>
            <w:spacing w:before="120" w:line="340" w:lineRule="atLeast"/>
            <w:jc w:val="right"/>
            <w:rPr>
              <w:color w:val="581D74"/>
              <w:sz w:val="16"/>
              <w:szCs w:val="16"/>
            </w:rPr>
          </w:pPr>
          <w:r w:rsidRPr="003924AC">
            <w:rPr>
              <w:rStyle w:val="Numrodepage"/>
              <w:color w:val="A778AE" w:themeColor="accent2"/>
              <w:sz w:val="16"/>
              <w:szCs w:val="16"/>
            </w:rPr>
            <w:fldChar w:fldCharType="begin"/>
          </w:r>
          <w:r w:rsidRPr="003924AC">
            <w:rPr>
              <w:rStyle w:val="Numrodepage"/>
              <w:color w:val="A778AE" w:themeColor="accent2"/>
              <w:sz w:val="16"/>
              <w:szCs w:val="16"/>
            </w:rPr>
            <w:instrText xml:space="preserve"> PAGE </w:instrText>
          </w:r>
          <w:r w:rsidRPr="003924AC">
            <w:rPr>
              <w:rStyle w:val="Numrodepage"/>
              <w:color w:val="A778AE" w:themeColor="accent2"/>
              <w:sz w:val="16"/>
              <w:szCs w:val="16"/>
            </w:rPr>
            <w:fldChar w:fldCharType="separate"/>
          </w:r>
          <w:r w:rsidR="008907D1">
            <w:rPr>
              <w:rStyle w:val="Numrodepage"/>
              <w:noProof/>
              <w:color w:val="A778AE" w:themeColor="accent2"/>
              <w:sz w:val="16"/>
              <w:szCs w:val="16"/>
            </w:rPr>
            <w:t>1</w:t>
          </w:r>
          <w:r w:rsidRPr="003924AC">
            <w:rPr>
              <w:rStyle w:val="Numrodepage"/>
              <w:color w:val="A778AE" w:themeColor="accent2"/>
              <w:sz w:val="16"/>
              <w:szCs w:val="16"/>
            </w:rPr>
            <w:fldChar w:fldCharType="end"/>
          </w:r>
          <w:r w:rsidRPr="003924AC">
            <w:rPr>
              <w:rStyle w:val="Numrodepage"/>
              <w:color w:val="581D74"/>
              <w:sz w:val="16"/>
              <w:szCs w:val="16"/>
            </w:rPr>
            <w:t>|</w:t>
          </w:r>
          <w:r w:rsidRPr="003924AC">
            <w:rPr>
              <w:rStyle w:val="Numrodepage"/>
              <w:color w:val="581D74"/>
              <w:sz w:val="16"/>
              <w:szCs w:val="16"/>
            </w:rPr>
            <w:fldChar w:fldCharType="begin"/>
          </w:r>
          <w:r w:rsidRPr="003924AC">
            <w:rPr>
              <w:rStyle w:val="Numrodepage"/>
              <w:color w:val="581D74"/>
              <w:sz w:val="16"/>
              <w:szCs w:val="16"/>
            </w:rPr>
            <w:instrText xml:space="preserve"> NUMPAGES </w:instrText>
          </w:r>
          <w:r w:rsidRPr="003924AC">
            <w:rPr>
              <w:rStyle w:val="Numrodepage"/>
              <w:color w:val="581D74"/>
              <w:sz w:val="16"/>
              <w:szCs w:val="16"/>
            </w:rPr>
            <w:fldChar w:fldCharType="separate"/>
          </w:r>
          <w:r w:rsidR="008907D1">
            <w:rPr>
              <w:rStyle w:val="Numrodepage"/>
              <w:noProof/>
              <w:color w:val="581D74"/>
              <w:sz w:val="16"/>
              <w:szCs w:val="16"/>
            </w:rPr>
            <w:t>18</w:t>
          </w:r>
          <w:r w:rsidRPr="003924AC">
            <w:rPr>
              <w:rStyle w:val="Numrodepage"/>
              <w:color w:val="581D74"/>
              <w:sz w:val="16"/>
              <w:szCs w:val="16"/>
            </w:rPr>
            <w:fldChar w:fldCharType="end"/>
          </w:r>
          <w:r w:rsidRPr="003924AC">
            <w:rPr>
              <w:rStyle w:val="Numrodepage"/>
              <w:color w:val="581D74"/>
              <w:sz w:val="16"/>
              <w:szCs w:val="16"/>
            </w:rPr>
            <w:t xml:space="preserve"> </w:t>
          </w:r>
        </w:p>
      </w:tc>
    </w:tr>
  </w:tbl>
  <w:p w:rsidR="00A92C86" w:rsidRPr="008E7554" w:rsidRDefault="00A92C86" w:rsidP="008E7554">
    <w:pPr>
      <w:pStyle w:val="Pieddepage"/>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C86" w:rsidRDefault="00A92C86">
      <w:r>
        <w:separator/>
      </w:r>
    </w:p>
  </w:footnote>
  <w:footnote w:type="continuationSeparator" w:id="0">
    <w:p w:rsidR="00A92C86" w:rsidRDefault="00A92C86">
      <w:r>
        <w:continuationSeparator/>
      </w:r>
    </w:p>
  </w:footnote>
  <w:footnote w:id="1">
    <w:p w:rsidR="00A92C86" w:rsidRPr="00FD1FEC" w:rsidRDefault="00A92C86" w:rsidP="00A1331E">
      <w:pPr>
        <w:pStyle w:val="Notedebasdepage"/>
        <w:ind w:left="112" w:hanging="112"/>
        <w:rPr>
          <w:color w:val="FF0000"/>
          <w:szCs w:val="14"/>
        </w:rPr>
      </w:pPr>
      <w:r w:rsidRPr="007B0008">
        <w:rPr>
          <w:rStyle w:val="Appelnotedebasdep"/>
          <w:szCs w:val="14"/>
        </w:rPr>
        <w:footnoteRef/>
      </w:r>
      <w:r w:rsidRPr="007B0008">
        <w:rPr>
          <w:szCs w:val="14"/>
        </w:rPr>
        <w:t xml:space="preserve"> T2 et S1-2014 pro forma (se reporter à la note méthodologique à la fin de ce communiqué de presse), sauf mention contraire toutes les variations sont exprimées par rapport au 3</w:t>
      </w:r>
      <w:r>
        <w:rPr>
          <w:szCs w:val="14"/>
        </w:rPr>
        <w:t>0</w:t>
      </w:r>
      <w:r w:rsidRPr="007B0008">
        <w:rPr>
          <w:szCs w:val="14"/>
        </w:rPr>
        <w:t>/06/2014</w:t>
      </w:r>
    </w:p>
  </w:footnote>
  <w:footnote w:id="2">
    <w:p w:rsidR="00A92C86" w:rsidRDefault="00A92C86">
      <w:pPr>
        <w:pStyle w:val="Notedebasdepage"/>
      </w:pPr>
      <w:r>
        <w:rPr>
          <w:rStyle w:val="Appelnotedebasdep"/>
        </w:rPr>
        <w:footnoteRef/>
      </w:r>
      <w:r>
        <w:t xml:space="preserve"> Hors éléments non économiques et exceptionnels et hors impact IFRIC 21</w:t>
      </w:r>
    </w:p>
  </w:footnote>
  <w:footnote w:id="3">
    <w:p w:rsidR="00A92C86" w:rsidRPr="00552680" w:rsidRDefault="00A92C86" w:rsidP="00A1331E">
      <w:pPr>
        <w:pStyle w:val="Notedebasdepage"/>
        <w:ind w:left="112" w:hanging="112"/>
      </w:pPr>
      <w:r w:rsidRPr="00552680">
        <w:rPr>
          <w:rStyle w:val="Appelnotedebasdep"/>
        </w:rPr>
        <w:footnoteRef/>
      </w:r>
      <w:r w:rsidRPr="00552680">
        <w:t xml:space="preserve"> Métiers cœurs : Banque commerciale et Assurance, Banque de Grande Clientèle, Epargne, et Services Financiers Spécialisés </w:t>
      </w:r>
    </w:p>
  </w:footnote>
  <w:footnote w:id="4">
    <w:p w:rsidR="00A92C86" w:rsidRPr="00FD1FEC" w:rsidRDefault="00A92C86" w:rsidP="00A1331E">
      <w:pPr>
        <w:pStyle w:val="Notedebasdepage"/>
        <w:ind w:left="112" w:hanging="112"/>
        <w:rPr>
          <w:color w:val="FF0000"/>
        </w:rPr>
      </w:pPr>
      <w:r w:rsidRPr="00552680">
        <w:rPr>
          <w:rStyle w:val="Appelnotedebasdep"/>
        </w:rPr>
        <w:footnoteRef/>
      </w:r>
      <w:r w:rsidRPr="00552680">
        <w:t xml:space="preserve"> Hors éléments </w:t>
      </w:r>
      <w:r>
        <w:t xml:space="preserve">non économiques et </w:t>
      </w:r>
      <w:r w:rsidRPr="00552680">
        <w:t xml:space="preserve">exceptionnels </w:t>
      </w:r>
    </w:p>
  </w:footnote>
  <w:footnote w:id="5">
    <w:p w:rsidR="00A92C86" w:rsidRPr="00FD1FEC" w:rsidRDefault="00A92C86" w:rsidP="00A1331E">
      <w:pPr>
        <w:pStyle w:val="Notedebasdepage"/>
        <w:ind w:left="112" w:hanging="112"/>
        <w:rPr>
          <w:color w:val="FF0000"/>
        </w:rPr>
      </w:pPr>
      <w:r w:rsidRPr="00C940A7">
        <w:rPr>
          <w:rStyle w:val="Appelnotedebasdep"/>
        </w:rPr>
        <w:footnoteRef/>
      </w:r>
      <w:r w:rsidRPr="00C940A7">
        <w:t xml:space="preserve"> Estimation au 3</w:t>
      </w:r>
      <w:r>
        <w:t>0</w:t>
      </w:r>
      <w:r w:rsidRPr="00C940A7">
        <w:t xml:space="preserve">/06/2015 – CRR/CRD4 sans mesures transitoires après retraitement des impôts différés actifs </w:t>
      </w:r>
      <w:r>
        <w:t>sur pertes reportables</w:t>
      </w:r>
    </w:p>
  </w:footnote>
  <w:footnote w:id="6">
    <w:p w:rsidR="00A92C86" w:rsidRPr="00FD1FEC" w:rsidRDefault="00A92C86" w:rsidP="00A1331E">
      <w:pPr>
        <w:pStyle w:val="Notedebasdepage"/>
        <w:ind w:left="112" w:hanging="112"/>
        <w:rPr>
          <w:color w:val="FF0000"/>
        </w:rPr>
      </w:pPr>
      <w:r w:rsidRPr="00C940A7">
        <w:rPr>
          <w:rStyle w:val="Appelnotedebasdep"/>
        </w:rPr>
        <w:footnoteRef/>
      </w:r>
      <w:r w:rsidRPr="00C940A7">
        <w:t xml:space="preserve"> Estimation au 3</w:t>
      </w:r>
      <w:r>
        <w:t>0</w:t>
      </w:r>
      <w:r w:rsidRPr="00C940A7">
        <w:t xml:space="preserve">/06/2015 selon les règles de l’Acte délégué publié par la Commission Européenne le 10 octobre 2014 – sans mesures transitoires CRR/CRD 4 après retraitement des impôts différés actifs </w:t>
      </w:r>
      <w:r>
        <w:t>sur pertes reportables</w:t>
      </w:r>
    </w:p>
  </w:footnote>
  <w:footnote w:id="7">
    <w:p w:rsidR="00A92C86" w:rsidRPr="008453B9" w:rsidRDefault="00A92C86" w:rsidP="00A1331E">
      <w:pPr>
        <w:pStyle w:val="Notedebasdepage"/>
        <w:ind w:left="112" w:hanging="112"/>
      </w:pPr>
      <w:r w:rsidRPr="008453B9">
        <w:rPr>
          <w:rStyle w:val="Appelnotedebasdep"/>
        </w:rPr>
        <w:footnoteRef/>
      </w:r>
      <w:r w:rsidRPr="008453B9">
        <w:t xml:space="preserve"> Hors SCF (Compagnie de Financement Foncier, société de crédit foncier du groupe)</w:t>
      </w:r>
    </w:p>
  </w:footnote>
  <w:footnote w:id="8">
    <w:p w:rsidR="00A92C86" w:rsidRDefault="00A92C86">
      <w:pPr>
        <w:pStyle w:val="Notedebasdepage"/>
      </w:pPr>
      <w:r>
        <w:rPr>
          <w:rStyle w:val="Appelnotedebasdep"/>
        </w:rPr>
        <w:footnoteRef/>
      </w:r>
      <w:r>
        <w:t xml:space="preserve"> </w:t>
      </w:r>
      <w:r w:rsidRPr="007B0008">
        <w:rPr>
          <w:szCs w:val="14"/>
        </w:rPr>
        <w:t>T2 et S1-2014 pro forma (se reporter à la note méthodologique à la fin de ce communiqué de presse), sauf mention contraire toutes les variations sont exprimées par rapport au 3</w:t>
      </w:r>
      <w:r>
        <w:rPr>
          <w:szCs w:val="14"/>
        </w:rPr>
        <w:t>0</w:t>
      </w:r>
      <w:r w:rsidRPr="007B0008">
        <w:rPr>
          <w:szCs w:val="14"/>
        </w:rPr>
        <w:t>/06/2014</w:t>
      </w:r>
    </w:p>
  </w:footnote>
  <w:footnote w:id="9">
    <w:p w:rsidR="00A92C86" w:rsidRDefault="00A92C86">
      <w:pPr>
        <w:pStyle w:val="Notedebasdepage"/>
      </w:pPr>
      <w:r>
        <w:rPr>
          <w:rStyle w:val="Appelnotedebasdep"/>
        </w:rPr>
        <w:footnoteRef/>
      </w:r>
      <w:r>
        <w:t xml:space="preserve"> Hors éléments non économiques et exceptionnels</w:t>
      </w:r>
    </w:p>
  </w:footnote>
  <w:footnote w:id="10">
    <w:p w:rsidR="00A92C86" w:rsidRDefault="00A92C86">
      <w:pPr>
        <w:pStyle w:val="Notedebasdepage"/>
      </w:pPr>
      <w:r>
        <w:rPr>
          <w:rStyle w:val="Appelnotedebasdep"/>
        </w:rPr>
        <w:footnoteRef/>
      </w:r>
      <w:r>
        <w:t xml:space="preserve"> </w:t>
      </w:r>
      <w:r w:rsidRPr="00C940A7">
        <w:t>Estimation au 3</w:t>
      </w:r>
      <w:r>
        <w:t>0</w:t>
      </w:r>
      <w:r w:rsidRPr="00C940A7">
        <w:t>/06/2015 – CRR/CRD4 sans mesures transitoires après retraitement des impôts différés actifs</w:t>
      </w:r>
      <w:r>
        <w:t xml:space="preserve"> sur pertes reportables</w:t>
      </w:r>
    </w:p>
  </w:footnote>
  <w:footnote w:id="11">
    <w:p w:rsidR="00A92C86" w:rsidRDefault="00A92C86">
      <w:pPr>
        <w:pStyle w:val="Notedebasdepage"/>
      </w:pPr>
      <w:r>
        <w:rPr>
          <w:rStyle w:val="Appelnotedebasdep"/>
        </w:rPr>
        <w:footnoteRef/>
      </w:r>
      <w:r>
        <w:t xml:space="preserve"> </w:t>
      </w:r>
      <w:r w:rsidRPr="00C940A7">
        <w:t>Estimation au 3</w:t>
      </w:r>
      <w:r>
        <w:t>0</w:t>
      </w:r>
      <w:r w:rsidRPr="00C940A7">
        <w:t xml:space="preserve">/06/2015 selon les règles de l’Acte délégué publié par la Commission Européenne le 10 octobre 2014 – sans mesures transitoires CRR/CRD 4 après retraitement des impôts différés actifs </w:t>
      </w:r>
      <w:r>
        <w:t>sur pertes reportables</w:t>
      </w:r>
    </w:p>
  </w:footnote>
  <w:footnote w:id="12">
    <w:p w:rsidR="00A92C86" w:rsidRDefault="00A92C86">
      <w:pPr>
        <w:pStyle w:val="Notedebasdepage"/>
      </w:pPr>
      <w:r>
        <w:rPr>
          <w:rStyle w:val="Appelnotedebasdep"/>
        </w:rPr>
        <w:footnoteRef/>
      </w:r>
      <w:r>
        <w:t xml:space="preserve"> </w:t>
      </w:r>
      <w:r w:rsidRPr="008453B9">
        <w:t>Hors SCF (Compagnie de Financement Foncier, société de crédit foncier du groupe)</w:t>
      </w:r>
    </w:p>
  </w:footnote>
  <w:footnote w:id="13">
    <w:p w:rsidR="00A92C86" w:rsidRDefault="00A92C86">
      <w:pPr>
        <w:pStyle w:val="Notedebasdepage"/>
      </w:pPr>
      <w:r>
        <w:rPr>
          <w:rStyle w:val="Appelnotedebasdep"/>
        </w:rPr>
        <w:footnoteRef/>
      </w:r>
      <w:r>
        <w:t xml:space="preserve"> Hors impact de l’IFRIC 21</w:t>
      </w:r>
    </w:p>
  </w:footnote>
  <w:footnote w:id="14">
    <w:p w:rsidR="00A92C86" w:rsidRDefault="00A92C86">
      <w:pPr>
        <w:pStyle w:val="Notedebasdepage"/>
      </w:pPr>
      <w:r>
        <w:rPr>
          <w:rStyle w:val="Appelnotedebasdep"/>
        </w:rPr>
        <w:footnoteRef/>
      </w:r>
      <w:r>
        <w:t xml:space="preserve"> Coût du risque en points de base annualisés sur encours bruts de crédits à la clientèle début de période comprenant une reprise de provisions de 38 M€ suite à la cession au T2 2015 de la totalité de l’exposition sur </w:t>
      </w:r>
      <w:proofErr w:type="spellStart"/>
      <w:r>
        <w:t>Heta</w:t>
      </w:r>
      <w:proofErr w:type="spellEnd"/>
      <w:r>
        <w:t xml:space="preserve"> </w:t>
      </w:r>
      <w:proofErr w:type="spellStart"/>
      <w:r>
        <w:t>Asset</w:t>
      </w:r>
      <w:proofErr w:type="spellEnd"/>
      <w:r>
        <w:t xml:space="preserve"> </w:t>
      </w:r>
      <w:proofErr w:type="spellStart"/>
      <w:r>
        <w:t>resolution</w:t>
      </w:r>
      <w:proofErr w:type="spellEnd"/>
      <w:r>
        <w:t xml:space="preserve"> AG</w:t>
      </w:r>
    </w:p>
  </w:footnote>
  <w:footnote w:id="15">
    <w:p w:rsidR="00A92C86" w:rsidRPr="00990646" w:rsidRDefault="00A92C86" w:rsidP="005547E2">
      <w:pPr>
        <w:pStyle w:val="Notedebasdepage"/>
        <w:ind w:left="168" w:hanging="168"/>
      </w:pPr>
      <w:r w:rsidRPr="00990646">
        <w:rPr>
          <w:rStyle w:val="Appelnotedebasdep"/>
        </w:rPr>
        <w:footnoteRef/>
      </w:r>
      <w:r w:rsidRPr="00990646">
        <w:t xml:space="preserve"> </w:t>
      </w:r>
      <w:r w:rsidRPr="00990646">
        <w:tab/>
        <w:t>CRR/CRD 4, sans mesures transitoires</w:t>
      </w:r>
      <w:r>
        <w:t xml:space="preserve"> après retraitement des </w:t>
      </w:r>
      <w:r w:rsidRPr="00990646">
        <w:t>impôts différés actifs sur pertes reportables</w:t>
      </w:r>
    </w:p>
  </w:footnote>
  <w:footnote w:id="16">
    <w:p w:rsidR="00A92C86" w:rsidRPr="00FD1FEC" w:rsidRDefault="00A92C86" w:rsidP="005547E2">
      <w:pPr>
        <w:pStyle w:val="Notedebasdepage"/>
        <w:ind w:left="168" w:hanging="168"/>
        <w:rPr>
          <w:color w:val="FF0000"/>
        </w:rPr>
      </w:pPr>
      <w:r w:rsidRPr="006971AB">
        <w:rPr>
          <w:rStyle w:val="Appelnotedebasdep"/>
        </w:rPr>
        <w:footnoteRef/>
      </w:r>
      <w:r w:rsidRPr="006971AB">
        <w:t xml:space="preserve"> </w:t>
      </w:r>
      <w:r w:rsidRPr="006971AB">
        <w:tab/>
        <w:t>Mise en réserve du résultat tenant compte de la distribution prévisionnelle</w:t>
      </w:r>
    </w:p>
  </w:footnote>
  <w:footnote w:id="17">
    <w:p w:rsidR="00A92C86" w:rsidRPr="00FD1FEC" w:rsidRDefault="00A92C86" w:rsidP="001F4CEF">
      <w:pPr>
        <w:pStyle w:val="Notedebasdepage"/>
        <w:ind w:left="168" w:hanging="168"/>
        <w:rPr>
          <w:color w:val="FF0000"/>
        </w:rPr>
      </w:pPr>
      <w:r w:rsidRPr="006971AB">
        <w:rPr>
          <w:rStyle w:val="Appelnotedebasdep"/>
        </w:rPr>
        <w:footnoteRef/>
      </w:r>
      <w:r w:rsidRPr="006971AB">
        <w:t xml:space="preserve"> Réserves nettes de</w:t>
      </w:r>
      <w:r>
        <w:t>s</w:t>
      </w:r>
      <w:r w:rsidRPr="006971AB">
        <w:t xml:space="preserve"> retraitements prudentiels</w:t>
      </w:r>
    </w:p>
  </w:footnote>
  <w:footnote w:id="18">
    <w:p w:rsidR="00A92C86" w:rsidRPr="00FD1FEC" w:rsidRDefault="00A92C86" w:rsidP="005547E2">
      <w:pPr>
        <w:pStyle w:val="Notedebasdepage"/>
        <w:ind w:left="168" w:hanging="168"/>
        <w:rPr>
          <w:color w:val="FF0000"/>
        </w:rPr>
      </w:pPr>
      <w:r w:rsidRPr="005124B0">
        <w:rPr>
          <w:rStyle w:val="Appelnotedebasdep"/>
        </w:rPr>
        <w:footnoteRef/>
      </w:r>
      <w:r w:rsidRPr="005124B0">
        <w:t xml:space="preserve"> Es</w:t>
      </w:r>
      <w:r>
        <w:t>timation au 30/06</w:t>
      </w:r>
      <w:r w:rsidRPr="005124B0">
        <w:t xml:space="preserve">/2015 selon les règles de l’Acte délégué publié par la Commission européenne le 10/10/2014 – sans mesures transitoires CRR/CRD 4 </w:t>
      </w:r>
      <w:r>
        <w:t xml:space="preserve">après retraitement des impôts différés </w:t>
      </w:r>
      <w:r w:rsidRPr="005124B0">
        <w:t>actifs sur pertes reportables</w:t>
      </w:r>
    </w:p>
  </w:footnote>
  <w:footnote w:id="19">
    <w:p w:rsidR="00A92C86" w:rsidRPr="006832A7" w:rsidRDefault="00A92C86" w:rsidP="005547E2">
      <w:pPr>
        <w:pStyle w:val="Notedebasdepage"/>
        <w:ind w:left="168" w:hanging="168"/>
      </w:pPr>
      <w:r w:rsidRPr="006832A7">
        <w:rPr>
          <w:rStyle w:val="Appelnotedebasdep"/>
        </w:rPr>
        <w:footnoteRef/>
      </w:r>
      <w:r w:rsidRPr="006832A7">
        <w:t xml:space="preserve"> Hors SCF (Compagnie de Financement Foncier, société de crédit foncier du groupe)</w:t>
      </w:r>
    </w:p>
  </w:footnote>
  <w:footnote w:id="20">
    <w:p w:rsidR="00A92C86" w:rsidRPr="006832A7" w:rsidRDefault="00A92C86" w:rsidP="005547E2">
      <w:pPr>
        <w:pStyle w:val="Notedebasdepage"/>
        <w:ind w:left="168" w:hanging="168"/>
      </w:pPr>
      <w:r w:rsidRPr="006832A7">
        <w:rPr>
          <w:rStyle w:val="Appelnotedebasdep"/>
        </w:rPr>
        <w:footnoteRef/>
      </w:r>
      <w:r w:rsidRPr="006832A7">
        <w:t xml:space="preserve"> Selon l’interprétation par le Groupe BPCE des dernières normes Bâle 3 connues</w:t>
      </w:r>
    </w:p>
  </w:footnote>
  <w:footnote w:id="21">
    <w:p w:rsidR="00A92C86" w:rsidRPr="00FD1FEC" w:rsidRDefault="00A92C86" w:rsidP="005547E2">
      <w:pPr>
        <w:pStyle w:val="Notedebasdepage"/>
        <w:ind w:left="168" w:hanging="168"/>
        <w:rPr>
          <w:color w:val="FF0000"/>
        </w:rPr>
      </w:pPr>
      <w:r w:rsidRPr="004910FD">
        <w:rPr>
          <w:rStyle w:val="Appelnotedebasdep"/>
        </w:rPr>
        <w:footnoteRef/>
      </w:r>
      <w:r w:rsidRPr="004910FD">
        <w:t xml:space="preserve"> </w:t>
      </w:r>
      <w:r w:rsidRPr="004910FD">
        <w:rPr>
          <w:szCs w:val="14"/>
        </w:rPr>
        <w:t>T2 et S1-2014 pro forma (se reporter à la note méthodologique à la fin de ce communiqué de presse), sauf mention contraire toutes les variations sont exprimées par rapport au 3</w:t>
      </w:r>
      <w:r>
        <w:rPr>
          <w:szCs w:val="14"/>
        </w:rPr>
        <w:t>0</w:t>
      </w:r>
      <w:r w:rsidRPr="004910FD">
        <w:rPr>
          <w:szCs w:val="14"/>
        </w:rPr>
        <w:t>/06/2014</w:t>
      </w:r>
    </w:p>
  </w:footnote>
  <w:footnote w:id="22">
    <w:p w:rsidR="00A92C86" w:rsidRPr="0097776C" w:rsidRDefault="00A92C86" w:rsidP="00E949EA">
      <w:pPr>
        <w:pStyle w:val="Notedebasdepage"/>
        <w:ind w:left="168" w:hanging="168"/>
      </w:pPr>
      <w:r w:rsidRPr="0097776C">
        <w:rPr>
          <w:rStyle w:val="Appelnotedebasdep"/>
        </w:rPr>
        <w:footnoteRef/>
      </w:r>
      <w:r w:rsidRPr="0097776C">
        <w:t xml:space="preserve"> Hors variation de la provision épargne logement</w:t>
      </w:r>
    </w:p>
  </w:footnote>
  <w:footnote w:id="23">
    <w:p w:rsidR="00A92C86" w:rsidRPr="00697C38" w:rsidRDefault="00A92C86" w:rsidP="00CF126E">
      <w:pPr>
        <w:pStyle w:val="Notedebasdepage"/>
        <w:ind w:left="154" w:hanging="154"/>
      </w:pPr>
      <w:r w:rsidRPr="00697C38">
        <w:rPr>
          <w:rStyle w:val="Appelnotedebasdep"/>
        </w:rPr>
        <w:footnoteRef/>
      </w:r>
      <w:r w:rsidRPr="00697C38">
        <w:tab/>
        <w:t>Variation</w:t>
      </w:r>
      <w:r>
        <w:t>s</w:t>
      </w:r>
      <w:r w:rsidRPr="00697C38">
        <w:t xml:space="preserve"> exprimée</w:t>
      </w:r>
      <w:r>
        <w:t>s</w:t>
      </w:r>
      <w:r w:rsidRPr="00697C38">
        <w:t xml:space="preserve"> sur la base d’encours pro forma, faisant suite aux évolutions de périmètre de consolidation du Groupe Crédit Coopératif consécutives à l’application des normes IFRS 10 et IFRS 11</w:t>
      </w:r>
    </w:p>
  </w:footnote>
  <w:footnote w:id="24">
    <w:p w:rsidR="00A92C86" w:rsidRDefault="00A92C86">
      <w:pPr>
        <w:pStyle w:val="Notedebasdepage"/>
      </w:pPr>
      <w:r>
        <w:rPr>
          <w:rStyle w:val="Appelnotedebasdep"/>
        </w:rPr>
        <w:footnoteRef/>
      </w:r>
      <w:r>
        <w:t xml:space="preserve"> N</w:t>
      </w:r>
      <w:r w:rsidRPr="00334575">
        <w:rPr>
          <w:szCs w:val="14"/>
        </w:rPr>
        <w:t xml:space="preserve">otamment de l’impact positif du </w:t>
      </w:r>
      <w:proofErr w:type="spellStart"/>
      <w:r w:rsidRPr="00334575">
        <w:rPr>
          <w:i/>
          <w:szCs w:val="14"/>
        </w:rPr>
        <w:t>credit</w:t>
      </w:r>
      <w:proofErr w:type="spellEnd"/>
      <w:r w:rsidRPr="00334575">
        <w:rPr>
          <w:i/>
          <w:szCs w:val="14"/>
        </w:rPr>
        <w:t xml:space="preserve"> </w:t>
      </w:r>
      <w:proofErr w:type="spellStart"/>
      <w:r w:rsidRPr="00334575">
        <w:rPr>
          <w:i/>
          <w:szCs w:val="14"/>
        </w:rPr>
        <w:t>valuation</w:t>
      </w:r>
      <w:proofErr w:type="spellEnd"/>
      <w:r w:rsidRPr="00334575">
        <w:rPr>
          <w:i/>
          <w:szCs w:val="14"/>
        </w:rPr>
        <w:t xml:space="preserve"> </w:t>
      </w:r>
      <w:proofErr w:type="spellStart"/>
      <w:r w:rsidRPr="00334575">
        <w:rPr>
          <w:i/>
          <w:szCs w:val="14"/>
        </w:rPr>
        <w:t>adjustment</w:t>
      </w:r>
      <w:proofErr w:type="spellEnd"/>
      <w:r w:rsidRPr="00334575">
        <w:rPr>
          <w:szCs w:val="14"/>
        </w:rPr>
        <w:t xml:space="preserve"> (CVA) et du </w:t>
      </w:r>
      <w:proofErr w:type="spellStart"/>
      <w:r w:rsidRPr="00334575">
        <w:rPr>
          <w:i/>
          <w:szCs w:val="14"/>
        </w:rPr>
        <w:t>debit</w:t>
      </w:r>
      <w:proofErr w:type="spellEnd"/>
      <w:r w:rsidRPr="00334575">
        <w:rPr>
          <w:i/>
          <w:szCs w:val="14"/>
        </w:rPr>
        <w:t xml:space="preserve"> </w:t>
      </w:r>
      <w:proofErr w:type="spellStart"/>
      <w:r w:rsidRPr="00334575">
        <w:rPr>
          <w:i/>
          <w:szCs w:val="14"/>
        </w:rPr>
        <w:t>valuation</w:t>
      </w:r>
      <w:proofErr w:type="spellEnd"/>
      <w:r w:rsidRPr="00334575">
        <w:rPr>
          <w:i/>
          <w:szCs w:val="14"/>
        </w:rPr>
        <w:t xml:space="preserve"> </w:t>
      </w:r>
      <w:proofErr w:type="spellStart"/>
      <w:r w:rsidRPr="00334575">
        <w:rPr>
          <w:i/>
          <w:szCs w:val="14"/>
        </w:rPr>
        <w:t>adjustment</w:t>
      </w:r>
      <w:proofErr w:type="spellEnd"/>
      <w:r w:rsidRPr="00334575">
        <w:rPr>
          <w:szCs w:val="14"/>
        </w:rPr>
        <w:t xml:space="preserve"> (DVA) ainsi que de la cession à BPCE du portefeuille de RMBS intervenue en septembre 2014</w:t>
      </w:r>
    </w:p>
  </w:footnote>
  <w:footnote w:id="25">
    <w:p w:rsidR="00A92C86" w:rsidRDefault="00A92C86">
      <w:pPr>
        <w:pStyle w:val="Notedebasdepage"/>
      </w:pPr>
      <w:r>
        <w:rPr>
          <w:rStyle w:val="Appelnotedebasdep"/>
        </w:rPr>
        <w:footnoteRef/>
      </w:r>
      <w:r>
        <w:t xml:space="preserve"> Encours moyens de juin 2015</w:t>
      </w:r>
    </w:p>
  </w:footnote>
  <w:footnote w:id="26">
    <w:p w:rsidR="00A92C86" w:rsidRDefault="00A92C86">
      <w:pPr>
        <w:pStyle w:val="Notedebasdepage"/>
      </w:pPr>
      <w:r>
        <w:rPr>
          <w:rStyle w:val="Appelnotedebasdep"/>
        </w:rPr>
        <w:footnoteRef/>
      </w:r>
      <w:r>
        <w:t xml:space="preserve"> Encours de fin juin 2015</w:t>
      </w:r>
    </w:p>
  </w:footnote>
  <w:footnote w:id="27">
    <w:p w:rsidR="00A92C86" w:rsidRPr="000530D3" w:rsidRDefault="00A92C86" w:rsidP="0020328D">
      <w:pPr>
        <w:pStyle w:val="Notedebasdepage"/>
        <w:ind w:left="154" w:hanging="154"/>
      </w:pPr>
      <w:r w:rsidRPr="000530D3">
        <w:rPr>
          <w:rStyle w:val="Appelnotedebasdep"/>
        </w:rPr>
        <w:footnoteRef/>
      </w:r>
      <w:r w:rsidRPr="000530D3">
        <w:t xml:space="preserve"> Les résultats contributifs au Groupe BPCE sont différents de ceux publiés par Natixis</w:t>
      </w:r>
    </w:p>
  </w:footnote>
  <w:footnote w:id="28">
    <w:p w:rsidR="00A92C86" w:rsidRPr="00FD1FEC" w:rsidRDefault="00A92C86" w:rsidP="0020328D">
      <w:pPr>
        <w:pStyle w:val="Notedebasdepage"/>
        <w:ind w:left="154" w:hanging="154"/>
        <w:rPr>
          <w:color w:val="FF0000"/>
        </w:rPr>
      </w:pPr>
      <w:r w:rsidRPr="000530D3">
        <w:rPr>
          <w:rStyle w:val="Appelnotedebasdep"/>
        </w:rPr>
        <w:footnoteRef/>
      </w:r>
      <w:r w:rsidRPr="000530D3">
        <w:t xml:space="preserve"> </w:t>
      </w:r>
      <w:r w:rsidRPr="000530D3">
        <w:rPr>
          <w:szCs w:val="14"/>
        </w:rPr>
        <w:t>T2 et S1-2014 pro forma (se reporter à la note méthodologique à la fin de ce communiqué de presse), sauf mention contraire toutes les variations sont exprimées par rapport au 30/06/2014</w:t>
      </w:r>
    </w:p>
  </w:footnote>
  <w:footnote w:id="29">
    <w:p w:rsidR="00A92C86" w:rsidRDefault="00A92C86" w:rsidP="0020328D">
      <w:pPr>
        <w:pStyle w:val="Notedebasdepage"/>
      </w:pPr>
      <w:r>
        <w:rPr>
          <w:rStyle w:val="Appelnotedebasdep"/>
        </w:rPr>
        <w:footnoteRef/>
      </w:r>
      <w:r>
        <w:t xml:space="preserve"> Données T2-2014 et S1-2014 retraitées des évolutions méthodologiques liées à l’application de IFRS13 (-37 M€ en PNB)</w:t>
      </w:r>
    </w:p>
  </w:footnote>
  <w:footnote w:id="30">
    <w:p w:rsidR="00A92C86" w:rsidRDefault="00A92C86" w:rsidP="001659A3">
      <w:pPr>
        <w:pStyle w:val="Notedebasdepage"/>
        <w:ind w:left="154" w:hanging="154"/>
      </w:pPr>
      <w:r w:rsidRPr="00841DCA">
        <w:rPr>
          <w:rStyle w:val="Appelnotedebasdep"/>
        </w:rPr>
        <w:footnoteRef/>
      </w:r>
      <w:r w:rsidRPr="00841DCA">
        <w:t xml:space="preserve"> Hors impact de l’IFRIC 21</w:t>
      </w:r>
    </w:p>
  </w:footnote>
  <w:footnote w:id="31">
    <w:p w:rsidR="00A92C86" w:rsidRPr="004F0A45" w:rsidRDefault="00A92C86" w:rsidP="001C14E4">
      <w:pPr>
        <w:jc w:val="left"/>
        <w:textAlignment w:val="center"/>
        <w:rPr>
          <w:sz w:val="14"/>
          <w:szCs w:val="14"/>
        </w:rPr>
      </w:pPr>
      <w:r w:rsidRPr="004F0A45">
        <w:rPr>
          <w:rStyle w:val="Appelnotedebasdep"/>
          <w:sz w:val="14"/>
          <w:szCs w:val="20"/>
        </w:rPr>
        <w:footnoteRef/>
      </w:r>
      <w:r w:rsidRPr="004F0A45">
        <w:rPr>
          <w:rStyle w:val="Appelnotedebasdep"/>
          <w:sz w:val="14"/>
          <w:szCs w:val="20"/>
        </w:rPr>
        <w:t xml:space="preserve"> </w:t>
      </w:r>
      <w:r>
        <w:rPr>
          <w:sz w:val="14"/>
          <w:szCs w:val="14"/>
        </w:rPr>
        <w:t>Les Financements spécialisés regroupent les métiers suivants : C</w:t>
      </w:r>
      <w:r w:rsidRPr="004F0A45">
        <w:rPr>
          <w:sz w:val="14"/>
          <w:szCs w:val="14"/>
        </w:rPr>
        <w:t>rédit à la consommation</w:t>
      </w:r>
      <w:r>
        <w:rPr>
          <w:sz w:val="14"/>
          <w:szCs w:val="14"/>
        </w:rPr>
        <w:t xml:space="preserve">, </w:t>
      </w:r>
      <w:r w:rsidRPr="004F0A45">
        <w:rPr>
          <w:sz w:val="14"/>
          <w:szCs w:val="14"/>
        </w:rPr>
        <w:t>Affacturage</w:t>
      </w:r>
      <w:r>
        <w:rPr>
          <w:sz w:val="14"/>
          <w:szCs w:val="14"/>
        </w:rPr>
        <w:t xml:space="preserve">, </w:t>
      </w:r>
      <w:r w:rsidRPr="004F0A45">
        <w:rPr>
          <w:sz w:val="14"/>
          <w:szCs w:val="14"/>
        </w:rPr>
        <w:t>Cautions et garanties, Crédit-bail et Financement du cinéma et de l’audiovisuel</w:t>
      </w:r>
    </w:p>
    <w:p w:rsidR="00A92C86" w:rsidRDefault="00A92C86">
      <w:pPr>
        <w:pStyle w:val="Notedebasdepage"/>
      </w:pPr>
    </w:p>
  </w:footnote>
  <w:footnote w:id="32">
    <w:p w:rsidR="00A92C86" w:rsidRPr="008E682C" w:rsidRDefault="00A92C86" w:rsidP="00BA087E">
      <w:pPr>
        <w:pStyle w:val="Notedebasdepage"/>
      </w:pPr>
      <w:r w:rsidRPr="008E682C">
        <w:rPr>
          <w:rStyle w:val="Appelnotedebasdep"/>
        </w:rPr>
        <w:footnoteRef/>
      </w:r>
      <w:r w:rsidRPr="008E682C">
        <w:t xml:space="preserve"> Périmètre et change constants</w:t>
      </w:r>
    </w:p>
  </w:footnote>
  <w:footnote w:id="33">
    <w:p w:rsidR="00A92C86" w:rsidRPr="00FD1FEC" w:rsidRDefault="00A92C86" w:rsidP="00BA087E">
      <w:pPr>
        <w:pStyle w:val="Notedebasdepage"/>
        <w:rPr>
          <w:color w:val="FF0000"/>
        </w:rPr>
      </w:pPr>
      <w:r w:rsidRPr="008E682C">
        <w:rPr>
          <w:rStyle w:val="Appelnotedebasdep"/>
        </w:rPr>
        <w:footnoteRef/>
      </w:r>
      <w:r w:rsidRPr="008E682C">
        <w:t xml:space="preserve"> Périmètre et change constants, hors éléments exceptionnels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6" w:rsidRDefault="00A92C86" w:rsidP="0027625E">
    <w:pPr>
      <w:pStyle w:val="En-tte"/>
      <w:tabs>
        <w:tab w:val="clear" w:pos="4536"/>
        <w:tab w:val="clear" w:pos="9072"/>
      </w:tabs>
    </w:pPr>
    <w:r>
      <w:rPr>
        <w:noProof/>
      </w:rPr>
      <w:drawing>
        <wp:inline distT="0" distB="0" distL="0" distR="0" wp14:anchorId="53C002C8" wp14:editId="08379C29">
          <wp:extent cx="1428750" cy="171450"/>
          <wp:effectExtent l="0" t="0" r="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71450"/>
                  </a:xfrm>
                  <a:prstGeom prst="rect">
                    <a:avLst/>
                  </a:prstGeom>
                  <a:noFill/>
                  <a:ln>
                    <a:noFill/>
                  </a:ln>
                </pic:spPr>
              </pic:pic>
            </a:graphicData>
          </a:graphic>
        </wp:inline>
      </w:drawing>
    </w:r>
  </w:p>
  <w:p w:rsidR="00A92C86" w:rsidRDefault="00A92C86" w:rsidP="0027625E">
    <w:pPr>
      <w:pStyle w:val="En-tte"/>
      <w:tabs>
        <w:tab w:val="clear" w:pos="4536"/>
        <w:tab w:val="clear" w:pos="9072"/>
      </w:tabs>
    </w:pPr>
  </w:p>
  <w:p w:rsidR="00A92C86" w:rsidRDefault="00A92C86" w:rsidP="0027625E">
    <w:pPr>
      <w:pStyle w:val="En-tte"/>
      <w:tabs>
        <w:tab w:val="clear" w:pos="4536"/>
        <w:tab w:val="clear"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86" w:rsidRDefault="00A92C86" w:rsidP="00601E7B">
    <w:pPr>
      <w:pStyle w:val="En-tte"/>
      <w:tabs>
        <w:tab w:val="clear" w:pos="4536"/>
        <w:tab w:val="clear" w:pos="9072"/>
      </w:tabs>
    </w:pPr>
    <w:r>
      <w:rPr>
        <w:noProof/>
      </w:rPr>
      <w:drawing>
        <wp:inline distT="0" distB="0" distL="0" distR="0" wp14:anchorId="586E7AC7" wp14:editId="216912BD">
          <wp:extent cx="3600450" cy="600075"/>
          <wp:effectExtent l="0" t="0" r="0" b="9525"/>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600075"/>
                  </a:xfrm>
                  <a:prstGeom prst="rect">
                    <a:avLst/>
                  </a:prstGeom>
                  <a:noFill/>
                  <a:ln>
                    <a:noFill/>
                  </a:ln>
                </pic:spPr>
              </pic:pic>
            </a:graphicData>
          </a:graphic>
        </wp:inline>
      </w:drawing>
    </w:r>
  </w:p>
  <w:p w:rsidR="00A92C86" w:rsidRDefault="00A92C86" w:rsidP="00601E7B">
    <w:pPr>
      <w:pStyle w:val="En-tte"/>
      <w:tabs>
        <w:tab w:val="clear" w:pos="4536"/>
        <w:tab w:val="clear" w:pos="9072"/>
      </w:tabs>
    </w:pPr>
  </w:p>
  <w:p w:rsidR="00A92C86" w:rsidRDefault="00A92C86" w:rsidP="00601E7B">
    <w:pPr>
      <w:pStyle w:val="En-tte"/>
      <w:tabs>
        <w:tab w:val="clear" w:pos="4536"/>
        <w:tab w:val="clear" w:pos="9072"/>
      </w:tabs>
    </w:pPr>
  </w:p>
  <w:p w:rsidR="00A92C86" w:rsidRDefault="00A92C86" w:rsidP="00601E7B">
    <w:pPr>
      <w:pStyle w:val="En-tte"/>
      <w:tabs>
        <w:tab w:val="clear" w:pos="4536"/>
        <w:tab w:val="clear" w:pos="9072"/>
      </w:tabs>
    </w:pPr>
  </w:p>
  <w:p w:rsidR="00A92C86" w:rsidRDefault="00A92C86" w:rsidP="00601E7B">
    <w:pPr>
      <w:pStyle w:val="En-tte"/>
      <w:tabs>
        <w:tab w:val="clear" w:pos="4536"/>
        <w:tab w:val="clear" w:pos="9072"/>
      </w:tabs>
    </w:pPr>
  </w:p>
  <w:p w:rsidR="00A92C86" w:rsidRDefault="00A92C86" w:rsidP="00601E7B">
    <w:pPr>
      <w:pStyle w:val="En-tte"/>
      <w:tabs>
        <w:tab w:val="clear" w:pos="4536"/>
        <w:tab w:val="clear" w:pos="9072"/>
      </w:tabs>
    </w:pPr>
  </w:p>
  <w:p w:rsidR="00A92C86" w:rsidRDefault="00A92C86" w:rsidP="00BC204B">
    <w:pPr>
      <w:pStyle w:val="En-tte"/>
      <w:tabs>
        <w:tab w:val="clear" w:pos="4536"/>
        <w:tab w:val="clear" w:pos="9072"/>
      </w:tabs>
      <w:jc w:val="right"/>
    </w:pPr>
    <w:r>
      <w:rPr>
        <w:noProof/>
      </w:rPr>
      <w:drawing>
        <wp:anchor distT="0" distB="0" distL="114300" distR="114300" simplePos="0" relativeHeight="251658240" behindDoc="0" locked="0" layoutInCell="1" allowOverlap="1" wp14:anchorId="5700AC75" wp14:editId="4FE4EF80">
          <wp:simplePos x="0" y="0"/>
          <wp:positionH relativeFrom="column">
            <wp:posOffset>2331720</wp:posOffset>
          </wp:positionH>
          <wp:positionV relativeFrom="paragraph">
            <wp:posOffset>-1270</wp:posOffset>
          </wp:positionV>
          <wp:extent cx="3787140" cy="353060"/>
          <wp:effectExtent l="0" t="0" r="3810" b="889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87140" cy="3530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92C86" w:rsidRDefault="00A92C86" w:rsidP="00601E7B">
    <w:pPr>
      <w:pStyle w:val="En-tte"/>
      <w:tabs>
        <w:tab w:val="clear" w:pos="4536"/>
        <w:tab w:val="clear" w:pos="9072"/>
      </w:tabs>
    </w:pPr>
  </w:p>
  <w:p w:rsidR="00A92C86" w:rsidRDefault="00A92C86" w:rsidP="00601E7B">
    <w:pPr>
      <w:pStyle w:val="En-tte"/>
      <w:tabs>
        <w:tab w:val="clear" w:pos="4536"/>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82CD430"/>
    <w:lvl w:ilvl="0">
      <w:start w:val="1"/>
      <w:numFmt w:val="decimal"/>
      <w:lvlText w:val="%1."/>
      <w:lvlJc w:val="left"/>
      <w:pPr>
        <w:tabs>
          <w:tab w:val="num" w:pos="643"/>
        </w:tabs>
        <w:ind w:left="643" w:hanging="360"/>
      </w:pPr>
    </w:lvl>
  </w:abstractNum>
  <w:abstractNum w:abstractNumId="1">
    <w:nsid w:val="FFFFFF88"/>
    <w:multiLevelType w:val="singleLevel"/>
    <w:tmpl w:val="8982E77E"/>
    <w:lvl w:ilvl="0">
      <w:start w:val="1"/>
      <w:numFmt w:val="decimal"/>
      <w:lvlText w:val="%1."/>
      <w:lvlJc w:val="left"/>
      <w:pPr>
        <w:tabs>
          <w:tab w:val="num" w:pos="360"/>
        </w:tabs>
        <w:ind w:left="360" w:hanging="360"/>
      </w:pPr>
    </w:lvl>
  </w:abstractNum>
  <w:abstractNum w:abstractNumId="2">
    <w:nsid w:val="FFFFFF89"/>
    <w:multiLevelType w:val="singleLevel"/>
    <w:tmpl w:val="BE00B104"/>
    <w:lvl w:ilvl="0">
      <w:start w:val="1"/>
      <w:numFmt w:val="bullet"/>
      <w:lvlText w:val="•"/>
      <w:lvlJc w:val="left"/>
      <w:pPr>
        <w:ind w:left="360" w:hanging="360"/>
      </w:pPr>
      <w:rPr>
        <w:rFonts w:ascii="Cambria" w:hAnsi="Cambria" w:hint="default"/>
        <w:color w:val="581D74"/>
      </w:rPr>
    </w:lvl>
  </w:abstractNum>
  <w:abstractNum w:abstractNumId="3">
    <w:nsid w:val="039C2B2B"/>
    <w:multiLevelType w:val="hybridMultilevel"/>
    <w:tmpl w:val="3FBC9CC2"/>
    <w:lvl w:ilvl="0" w:tplc="F4C82148">
      <w:start w:val="1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DA7272"/>
    <w:multiLevelType w:val="hybridMultilevel"/>
    <w:tmpl w:val="6BBEA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965B5F"/>
    <w:multiLevelType w:val="hybridMultilevel"/>
    <w:tmpl w:val="EF424F5E"/>
    <w:lvl w:ilvl="0" w:tplc="9350113E">
      <w:start w:val="1"/>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AE17AF6"/>
    <w:multiLevelType w:val="hybridMultilevel"/>
    <w:tmpl w:val="38FC7F30"/>
    <w:lvl w:ilvl="0" w:tplc="02D26DE4">
      <w:start w:val="1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0F1556"/>
    <w:multiLevelType w:val="hybridMultilevel"/>
    <w:tmpl w:val="5BA4FD34"/>
    <w:lvl w:ilvl="0" w:tplc="6B9CA916">
      <w:start w:val="1"/>
      <w:numFmt w:val="bullet"/>
      <w:lvlText w:val=""/>
      <w:lvlJc w:val="left"/>
      <w:pPr>
        <w:tabs>
          <w:tab w:val="num" w:pos="720"/>
        </w:tabs>
        <w:ind w:left="720" w:hanging="360"/>
      </w:pPr>
      <w:rPr>
        <w:rFonts w:ascii="Wingdings" w:hAnsi="Wingdings" w:hint="default"/>
      </w:rPr>
    </w:lvl>
    <w:lvl w:ilvl="1" w:tplc="3B28E77C" w:tentative="1">
      <w:start w:val="1"/>
      <w:numFmt w:val="bullet"/>
      <w:lvlText w:val=""/>
      <w:lvlJc w:val="left"/>
      <w:pPr>
        <w:tabs>
          <w:tab w:val="num" w:pos="1440"/>
        </w:tabs>
        <w:ind w:left="1440" w:hanging="360"/>
      </w:pPr>
      <w:rPr>
        <w:rFonts w:ascii="Wingdings" w:hAnsi="Wingdings" w:hint="default"/>
      </w:rPr>
    </w:lvl>
    <w:lvl w:ilvl="2" w:tplc="295C3160" w:tentative="1">
      <w:start w:val="1"/>
      <w:numFmt w:val="bullet"/>
      <w:lvlText w:val=""/>
      <w:lvlJc w:val="left"/>
      <w:pPr>
        <w:tabs>
          <w:tab w:val="num" w:pos="2160"/>
        </w:tabs>
        <w:ind w:left="2160" w:hanging="360"/>
      </w:pPr>
      <w:rPr>
        <w:rFonts w:ascii="Wingdings" w:hAnsi="Wingdings" w:hint="default"/>
      </w:rPr>
    </w:lvl>
    <w:lvl w:ilvl="3" w:tplc="8CCCFA66" w:tentative="1">
      <w:start w:val="1"/>
      <w:numFmt w:val="bullet"/>
      <w:lvlText w:val=""/>
      <w:lvlJc w:val="left"/>
      <w:pPr>
        <w:tabs>
          <w:tab w:val="num" w:pos="2880"/>
        </w:tabs>
        <w:ind w:left="2880" w:hanging="360"/>
      </w:pPr>
      <w:rPr>
        <w:rFonts w:ascii="Wingdings" w:hAnsi="Wingdings" w:hint="default"/>
      </w:rPr>
    </w:lvl>
    <w:lvl w:ilvl="4" w:tplc="DD6863B4" w:tentative="1">
      <w:start w:val="1"/>
      <w:numFmt w:val="bullet"/>
      <w:lvlText w:val=""/>
      <w:lvlJc w:val="left"/>
      <w:pPr>
        <w:tabs>
          <w:tab w:val="num" w:pos="3600"/>
        </w:tabs>
        <w:ind w:left="3600" w:hanging="360"/>
      </w:pPr>
      <w:rPr>
        <w:rFonts w:ascii="Wingdings" w:hAnsi="Wingdings" w:hint="default"/>
      </w:rPr>
    </w:lvl>
    <w:lvl w:ilvl="5" w:tplc="7E782338" w:tentative="1">
      <w:start w:val="1"/>
      <w:numFmt w:val="bullet"/>
      <w:lvlText w:val=""/>
      <w:lvlJc w:val="left"/>
      <w:pPr>
        <w:tabs>
          <w:tab w:val="num" w:pos="4320"/>
        </w:tabs>
        <w:ind w:left="4320" w:hanging="360"/>
      </w:pPr>
      <w:rPr>
        <w:rFonts w:ascii="Wingdings" w:hAnsi="Wingdings" w:hint="default"/>
      </w:rPr>
    </w:lvl>
    <w:lvl w:ilvl="6" w:tplc="60D2F7A4" w:tentative="1">
      <w:start w:val="1"/>
      <w:numFmt w:val="bullet"/>
      <w:lvlText w:val=""/>
      <w:lvlJc w:val="left"/>
      <w:pPr>
        <w:tabs>
          <w:tab w:val="num" w:pos="5040"/>
        </w:tabs>
        <w:ind w:left="5040" w:hanging="360"/>
      </w:pPr>
      <w:rPr>
        <w:rFonts w:ascii="Wingdings" w:hAnsi="Wingdings" w:hint="default"/>
      </w:rPr>
    </w:lvl>
    <w:lvl w:ilvl="7" w:tplc="E3862152" w:tentative="1">
      <w:start w:val="1"/>
      <w:numFmt w:val="bullet"/>
      <w:lvlText w:val=""/>
      <w:lvlJc w:val="left"/>
      <w:pPr>
        <w:tabs>
          <w:tab w:val="num" w:pos="5760"/>
        </w:tabs>
        <w:ind w:left="5760" w:hanging="360"/>
      </w:pPr>
      <w:rPr>
        <w:rFonts w:ascii="Wingdings" w:hAnsi="Wingdings" w:hint="default"/>
      </w:rPr>
    </w:lvl>
    <w:lvl w:ilvl="8" w:tplc="9A1A47CC" w:tentative="1">
      <w:start w:val="1"/>
      <w:numFmt w:val="bullet"/>
      <w:lvlText w:val=""/>
      <w:lvlJc w:val="left"/>
      <w:pPr>
        <w:tabs>
          <w:tab w:val="num" w:pos="6480"/>
        </w:tabs>
        <w:ind w:left="6480" w:hanging="360"/>
      </w:pPr>
      <w:rPr>
        <w:rFonts w:ascii="Wingdings" w:hAnsi="Wingdings" w:hint="default"/>
      </w:rPr>
    </w:lvl>
  </w:abstractNum>
  <w:abstractNum w:abstractNumId="8">
    <w:nsid w:val="16B84B7A"/>
    <w:multiLevelType w:val="multilevel"/>
    <w:tmpl w:val="A044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04379E"/>
    <w:multiLevelType w:val="hybridMultilevel"/>
    <w:tmpl w:val="12C2F3CC"/>
    <w:lvl w:ilvl="0" w:tplc="73341908">
      <w:start w:val="1"/>
      <w:numFmt w:val="bullet"/>
      <w:lvlText w:val=""/>
      <w:lvlJc w:val="left"/>
      <w:pPr>
        <w:ind w:left="720" w:hanging="360"/>
      </w:pPr>
      <w:rPr>
        <w:rFonts w:ascii="Symbol" w:hAnsi="Symbol" w:hint="default"/>
        <w:color w:val="581D74"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F855EF"/>
    <w:multiLevelType w:val="hybridMultilevel"/>
    <w:tmpl w:val="C520E496"/>
    <w:lvl w:ilvl="0" w:tplc="DD00CE74">
      <w:start w:val="1"/>
      <w:numFmt w:val="bullet"/>
      <w:lvlText w:val=""/>
      <w:lvlJc w:val="left"/>
      <w:pPr>
        <w:ind w:left="720" w:hanging="360"/>
      </w:pPr>
      <w:rPr>
        <w:rFonts w:ascii="Wingdings" w:hAnsi="Wingdings" w:hint="default"/>
        <w:b w:val="0"/>
        <w:color w:val="581D74"/>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7CA1CE9"/>
    <w:multiLevelType w:val="hybridMultilevel"/>
    <w:tmpl w:val="19229884"/>
    <w:lvl w:ilvl="0" w:tplc="BEAA15C8">
      <w:start w:val="1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FE52710"/>
    <w:multiLevelType w:val="hybridMultilevel"/>
    <w:tmpl w:val="FAEE08EE"/>
    <w:lvl w:ilvl="0" w:tplc="040C0001">
      <w:start w:val="1"/>
      <w:numFmt w:val="bullet"/>
      <w:lvlText w:val=""/>
      <w:lvlJc w:val="left"/>
      <w:pPr>
        <w:ind w:left="720" w:hanging="360"/>
      </w:pPr>
      <w:rPr>
        <w:rFonts w:ascii="Symbol" w:hAnsi="Symbol" w:hint="default"/>
      </w:rPr>
    </w:lvl>
    <w:lvl w:ilvl="1" w:tplc="408A834E">
      <w:start w:val="1"/>
      <w:numFmt w:val="bullet"/>
      <w:lvlText w:val="4"/>
      <w:lvlJc w:val="left"/>
      <w:pPr>
        <w:ind w:left="1440" w:hanging="360"/>
      </w:pPr>
      <w:rPr>
        <w:rFonts w:ascii="Webdings" w:hAnsi="Webdings" w:hint="default"/>
        <w:color w:val="F47920" w:themeColor="accent3"/>
      </w:rPr>
    </w:lvl>
    <w:lvl w:ilvl="2" w:tplc="BDBECD8C">
      <w:start w:val="1"/>
      <w:numFmt w:val="bullet"/>
      <w:lvlText w:val=""/>
      <w:lvlJc w:val="left"/>
      <w:pPr>
        <w:ind w:left="2160" w:hanging="360"/>
      </w:pPr>
      <w:rPr>
        <w:rFonts w:ascii="Wingdings" w:hAnsi="Wingdings" w:hint="default"/>
        <w:color w:val="A778AE" w:themeColor="accent2"/>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53B6904"/>
    <w:multiLevelType w:val="hybridMultilevel"/>
    <w:tmpl w:val="8E90CE40"/>
    <w:lvl w:ilvl="0" w:tplc="408A834E">
      <w:start w:val="1"/>
      <w:numFmt w:val="bullet"/>
      <w:pStyle w:val="6-LISTEPUCE"/>
      <w:lvlText w:val="4"/>
      <w:lvlJc w:val="left"/>
      <w:pPr>
        <w:ind w:left="720" w:hanging="360"/>
      </w:pPr>
      <w:rPr>
        <w:rFonts w:ascii="Webdings" w:hAnsi="Webdings" w:hint="default"/>
        <w:color w:val="F47920" w:themeColor="accent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67F6A45"/>
    <w:multiLevelType w:val="multilevel"/>
    <w:tmpl w:val="F5266618"/>
    <w:lvl w:ilvl="0">
      <w:start w:val="1"/>
      <w:numFmt w:val="decimal"/>
      <w:pStyle w:val="Listenumros"/>
      <w:lvlText w:val="%1."/>
      <w:lvlJc w:val="left"/>
      <w:pPr>
        <w:ind w:left="360" w:hanging="360"/>
      </w:pPr>
      <w:rPr>
        <w:rFonts w:hint="default"/>
        <w:b/>
        <w:color w:val="581D74"/>
      </w:rPr>
    </w:lvl>
    <w:lvl w:ilvl="1">
      <w:start w:val="1"/>
      <w:numFmt w:val="decimal"/>
      <w:pStyle w:val="Listenumros2"/>
      <w:lvlText w:val="%2."/>
      <w:lvlJc w:val="left"/>
      <w:pPr>
        <w:ind w:left="936" w:hanging="576"/>
      </w:pPr>
      <w:rPr>
        <w:rFonts w:hint="default"/>
        <w:b/>
        <w:color w:val="F47920"/>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B47462C"/>
    <w:multiLevelType w:val="hybridMultilevel"/>
    <w:tmpl w:val="AF888C70"/>
    <w:lvl w:ilvl="0" w:tplc="DD00CE74">
      <w:start w:val="1"/>
      <w:numFmt w:val="bullet"/>
      <w:lvlText w:val=""/>
      <w:lvlJc w:val="left"/>
      <w:pPr>
        <w:ind w:left="720" w:hanging="360"/>
      </w:pPr>
      <w:rPr>
        <w:rFonts w:ascii="Wingdings" w:hAnsi="Wingdings" w:hint="default"/>
        <w:b w:val="0"/>
        <w:color w:val="581D74"/>
        <w:sz w:val="16"/>
      </w:rPr>
    </w:lvl>
    <w:lvl w:ilvl="1" w:tplc="BDBECD8C">
      <w:start w:val="1"/>
      <w:numFmt w:val="bullet"/>
      <w:lvlText w:val=""/>
      <w:lvlJc w:val="left"/>
      <w:pPr>
        <w:ind w:left="1440" w:hanging="360"/>
      </w:pPr>
      <w:rPr>
        <w:rFonts w:ascii="Wingdings" w:hAnsi="Wingdings" w:hint="default"/>
        <w:color w:val="A778AE" w:themeColor="accent2"/>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3083CF0"/>
    <w:multiLevelType w:val="hybridMultilevel"/>
    <w:tmpl w:val="093C95BA"/>
    <w:lvl w:ilvl="0" w:tplc="408A834E">
      <w:start w:val="1"/>
      <w:numFmt w:val="bullet"/>
      <w:lvlText w:val="4"/>
      <w:lvlJc w:val="left"/>
      <w:pPr>
        <w:ind w:left="720" w:hanging="360"/>
      </w:pPr>
      <w:rPr>
        <w:rFonts w:ascii="Webdings" w:hAnsi="Webdings" w:hint="default"/>
        <w:color w:val="F47920" w:themeColor="accent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7D3089B"/>
    <w:multiLevelType w:val="hybridMultilevel"/>
    <w:tmpl w:val="0010BB0C"/>
    <w:lvl w:ilvl="0" w:tplc="9702A978">
      <w:start w:val="1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C82419B"/>
    <w:multiLevelType w:val="hybridMultilevel"/>
    <w:tmpl w:val="10920700"/>
    <w:lvl w:ilvl="0" w:tplc="DD00CE74">
      <w:start w:val="1"/>
      <w:numFmt w:val="bullet"/>
      <w:lvlText w:val=""/>
      <w:lvlJc w:val="left"/>
      <w:pPr>
        <w:ind w:left="720" w:hanging="360"/>
      </w:pPr>
      <w:rPr>
        <w:rFonts w:ascii="Wingdings" w:hAnsi="Wingdings" w:hint="default"/>
        <w:b w:val="0"/>
        <w:color w:val="581D74"/>
        <w:sz w:val="16"/>
      </w:rPr>
    </w:lvl>
    <w:lvl w:ilvl="1" w:tplc="151C507E">
      <w:start w:val="1"/>
      <w:numFmt w:val="bullet"/>
      <w:lvlText w:val=""/>
      <w:lvlJc w:val="left"/>
      <w:pPr>
        <w:ind w:left="1440" w:hanging="360"/>
      </w:pPr>
      <w:rPr>
        <w:rFonts w:ascii="Wingdings" w:hAnsi="Wingdings" w:hint="default"/>
        <w:color w:val="F47920" w:themeColor="accent3"/>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3CA7E35"/>
    <w:multiLevelType w:val="hybridMultilevel"/>
    <w:tmpl w:val="3086FCD2"/>
    <w:lvl w:ilvl="0" w:tplc="89342600">
      <w:start w:val="1"/>
      <w:numFmt w:val="bullet"/>
      <w:lvlText w:val=""/>
      <w:lvlJc w:val="left"/>
      <w:pPr>
        <w:tabs>
          <w:tab w:val="num" w:pos="720"/>
        </w:tabs>
        <w:ind w:left="720" w:hanging="360"/>
      </w:pPr>
      <w:rPr>
        <w:rFonts w:ascii="Wingdings" w:hAnsi="Wingdings" w:hint="default"/>
      </w:rPr>
    </w:lvl>
    <w:lvl w:ilvl="1" w:tplc="297CFE0A" w:tentative="1">
      <w:start w:val="1"/>
      <w:numFmt w:val="bullet"/>
      <w:lvlText w:val=""/>
      <w:lvlJc w:val="left"/>
      <w:pPr>
        <w:tabs>
          <w:tab w:val="num" w:pos="1440"/>
        </w:tabs>
        <w:ind w:left="1440" w:hanging="360"/>
      </w:pPr>
      <w:rPr>
        <w:rFonts w:ascii="Wingdings" w:hAnsi="Wingdings" w:hint="default"/>
      </w:rPr>
    </w:lvl>
    <w:lvl w:ilvl="2" w:tplc="7652CBBC" w:tentative="1">
      <w:start w:val="1"/>
      <w:numFmt w:val="bullet"/>
      <w:lvlText w:val=""/>
      <w:lvlJc w:val="left"/>
      <w:pPr>
        <w:tabs>
          <w:tab w:val="num" w:pos="2160"/>
        </w:tabs>
        <w:ind w:left="2160" w:hanging="360"/>
      </w:pPr>
      <w:rPr>
        <w:rFonts w:ascii="Wingdings" w:hAnsi="Wingdings" w:hint="default"/>
      </w:rPr>
    </w:lvl>
    <w:lvl w:ilvl="3" w:tplc="684EFCF4" w:tentative="1">
      <w:start w:val="1"/>
      <w:numFmt w:val="bullet"/>
      <w:lvlText w:val=""/>
      <w:lvlJc w:val="left"/>
      <w:pPr>
        <w:tabs>
          <w:tab w:val="num" w:pos="2880"/>
        </w:tabs>
        <w:ind w:left="2880" w:hanging="360"/>
      </w:pPr>
      <w:rPr>
        <w:rFonts w:ascii="Wingdings" w:hAnsi="Wingdings" w:hint="default"/>
      </w:rPr>
    </w:lvl>
    <w:lvl w:ilvl="4" w:tplc="DFBE2072" w:tentative="1">
      <w:start w:val="1"/>
      <w:numFmt w:val="bullet"/>
      <w:lvlText w:val=""/>
      <w:lvlJc w:val="left"/>
      <w:pPr>
        <w:tabs>
          <w:tab w:val="num" w:pos="3600"/>
        </w:tabs>
        <w:ind w:left="3600" w:hanging="360"/>
      </w:pPr>
      <w:rPr>
        <w:rFonts w:ascii="Wingdings" w:hAnsi="Wingdings" w:hint="default"/>
      </w:rPr>
    </w:lvl>
    <w:lvl w:ilvl="5" w:tplc="FE20B43E" w:tentative="1">
      <w:start w:val="1"/>
      <w:numFmt w:val="bullet"/>
      <w:lvlText w:val=""/>
      <w:lvlJc w:val="left"/>
      <w:pPr>
        <w:tabs>
          <w:tab w:val="num" w:pos="4320"/>
        </w:tabs>
        <w:ind w:left="4320" w:hanging="360"/>
      </w:pPr>
      <w:rPr>
        <w:rFonts w:ascii="Wingdings" w:hAnsi="Wingdings" w:hint="default"/>
      </w:rPr>
    </w:lvl>
    <w:lvl w:ilvl="6" w:tplc="4C42CF8E" w:tentative="1">
      <w:start w:val="1"/>
      <w:numFmt w:val="bullet"/>
      <w:lvlText w:val=""/>
      <w:lvlJc w:val="left"/>
      <w:pPr>
        <w:tabs>
          <w:tab w:val="num" w:pos="5040"/>
        </w:tabs>
        <w:ind w:left="5040" w:hanging="360"/>
      </w:pPr>
      <w:rPr>
        <w:rFonts w:ascii="Wingdings" w:hAnsi="Wingdings" w:hint="default"/>
      </w:rPr>
    </w:lvl>
    <w:lvl w:ilvl="7" w:tplc="3402A532" w:tentative="1">
      <w:start w:val="1"/>
      <w:numFmt w:val="bullet"/>
      <w:lvlText w:val=""/>
      <w:lvlJc w:val="left"/>
      <w:pPr>
        <w:tabs>
          <w:tab w:val="num" w:pos="5760"/>
        </w:tabs>
        <w:ind w:left="5760" w:hanging="360"/>
      </w:pPr>
      <w:rPr>
        <w:rFonts w:ascii="Wingdings" w:hAnsi="Wingdings" w:hint="default"/>
      </w:rPr>
    </w:lvl>
    <w:lvl w:ilvl="8" w:tplc="DB501A7E" w:tentative="1">
      <w:start w:val="1"/>
      <w:numFmt w:val="bullet"/>
      <w:lvlText w:val=""/>
      <w:lvlJc w:val="left"/>
      <w:pPr>
        <w:tabs>
          <w:tab w:val="num" w:pos="6480"/>
        </w:tabs>
        <w:ind w:left="6480" w:hanging="360"/>
      </w:pPr>
      <w:rPr>
        <w:rFonts w:ascii="Wingdings" w:hAnsi="Wingdings" w:hint="default"/>
      </w:rPr>
    </w:lvl>
  </w:abstractNum>
  <w:abstractNum w:abstractNumId="20">
    <w:nsid w:val="64276D41"/>
    <w:multiLevelType w:val="hybridMultilevel"/>
    <w:tmpl w:val="15941572"/>
    <w:lvl w:ilvl="0" w:tplc="C9E4CAE4">
      <w:start w:val="1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ABA7D32"/>
    <w:multiLevelType w:val="hybridMultilevel"/>
    <w:tmpl w:val="756AC550"/>
    <w:lvl w:ilvl="0" w:tplc="139E0C4C">
      <w:start w:val="1"/>
      <w:numFmt w:val="bullet"/>
      <w:lvlText w:val=""/>
      <w:lvlJc w:val="left"/>
      <w:pPr>
        <w:tabs>
          <w:tab w:val="num" w:pos="720"/>
        </w:tabs>
        <w:ind w:left="720" w:hanging="360"/>
      </w:pPr>
      <w:rPr>
        <w:rFonts w:ascii="Wingdings" w:hAnsi="Wingdings" w:hint="default"/>
      </w:rPr>
    </w:lvl>
    <w:lvl w:ilvl="1" w:tplc="26747456" w:tentative="1">
      <w:start w:val="1"/>
      <w:numFmt w:val="bullet"/>
      <w:lvlText w:val=""/>
      <w:lvlJc w:val="left"/>
      <w:pPr>
        <w:tabs>
          <w:tab w:val="num" w:pos="1440"/>
        </w:tabs>
        <w:ind w:left="1440" w:hanging="360"/>
      </w:pPr>
      <w:rPr>
        <w:rFonts w:ascii="Wingdings" w:hAnsi="Wingdings" w:hint="default"/>
      </w:rPr>
    </w:lvl>
    <w:lvl w:ilvl="2" w:tplc="AB80DED4" w:tentative="1">
      <w:start w:val="1"/>
      <w:numFmt w:val="bullet"/>
      <w:lvlText w:val=""/>
      <w:lvlJc w:val="left"/>
      <w:pPr>
        <w:tabs>
          <w:tab w:val="num" w:pos="2160"/>
        </w:tabs>
        <w:ind w:left="2160" w:hanging="360"/>
      </w:pPr>
      <w:rPr>
        <w:rFonts w:ascii="Wingdings" w:hAnsi="Wingdings" w:hint="default"/>
      </w:rPr>
    </w:lvl>
    <w:lvl w:ilvl="3" w:tplc="0CA68552" w:tentative="1">
      <w:start w:val="1"/>
      <w:numFmt w:val="bullet"/>
      <w:lvlText w:val=""/>
      <w:lvlJc w:val="left"/>
      <w:pPr>
        <w:tabs>
          <w:tab w:val="num" w:pos="2880"/>
        </w:tabs>
        <w:ind w:left="2880" w:hanging="360"/>
      </w:pPr>
      <w:rPr>
        <w:rFonts w:ascii="Wingdings" w:hAnsi="Wingdings" w:hint="default"/>
      </w:rPr>
    </w:lvl>
    <w:lvl w:ilvl="4" w:tplc="079EA7CE" w:tentative="1">
      <w:start w:val="1"/>
      <w:numFmt w:val="bullet"/>
      <w:lvlText w:val=""/>
      <w:lvlJc w:val="left"/>
      <w:pPr>
        <w:tabs>
          <w:tab w:val="num" w:pos="3600"/>
        </w:tabs>
        <w:ind w:left="3600" w:hanging="360"/>
      </w:pPr>
      <w:rPr>
        <w:rFonts w:ascii="Wingdings" w:hAnsi="Wingdings" w:hint="default"/>
      </w:rPr>
    </w:lvl>
    <w:lvl w:ilvl="5" w:tplc="279E5014" w:tentative="1">
      <w:start w:val="1"/>
      <w:numFmt w:val="bullet"/>
      <w:lvlText w:val=""/>
      <w:lvlJc w:val="left"/>
      <w:pPr>
        <w:tabs>
          <w:tab w:val="num" w:pos="4320"/>
        </w:tabs>
        <w:ind w:left="4320" w:hanging="360"/>
      </w:pPr>
      <w:rPr>
        <w:rFonts w:ascii="Wingdings" w:hAnsi="Wingdings" w:hint="default"/>
      </w:rPr>
    </w:lvl>
    <w:lvl w:ilvl="6" w:tplc="84F2A204" w:tentative="1">
      <w:start w:val="1"/>
      <w:numFmt w:val="bullet"/>
      <w:lvlText w:val=""/>
      <w:lvlJc w:val="left"/>
      <w:pPr>
        <w:tabs>
          <w:tab w:val="num" w:pos="5040"/>
        </w:tabs>
        <w:ind w:left="5040" w:hanging="360"/>
      </w:pPr>
      <w:rPr>
        <w:rFonts w:ascii="Wingdings" w:hAnsi="Wingdings" w:hint="default"/>
      </w:rPr>
    </w:lvl>
    <w:lvl w:ilvl="7" w:tplc="165ABF6A" w:tentative="1">
      <w:start w:val="1"/>
      <w:numFmt w:val="bullet"/>
      <w:lvlText w:val=""/>
      <w:lvlJc w:val="left"/>
      <w:pPr>
        <w:tabs>
          <w:tab w:val="num" w:pos="5760"/>
        </w:tabs>
        <w:ind w:left="5760" w:hanging="360"/>
      </w:pPr>
      <w:rPr>
        <w:rFonts w:ascii="Wingdings" w:hAnsi="Wingdings" w:hint="default"/>
      </w:rPr>
    </w:lvl>
    <w:lvl w:ilvl="8" w:tplc="C45817D6" w:tentative="1">
      <w:start w:val="1"/>
      <w:numFmt w:val="bullet"/>
      <w:lvlText w:val=""/>
      <w:lvlJc w:val="left"/>
      <w:pPr>
        <w:tabs>
          <w:tab w:val="num" w:pos="6480"/>
        </w:tabs>
        <w:ind w:left="6480" w:hanging="360"/>
      </w:pPr>
      <w:rPr>
        <w:rFonts w:ascii="Wingdings" w:hAnsi="Wingdings" w:hint="default"/>
      </w:rPr>
    </w:lvl>
  </w:abstractNum>
  <w:abstractNum w:abstractNumId="22">
    <w:nsid w:val="7B9D0C58"/>
    <w:multiLevelType w:val="hybridMultilevel"/>
    <w:tmpl w:val="28440C52"/>
    <w:lvl w:ilvl="0" w:tplc="1348FA82">
      <w:start w:val="1"/>
      <w:numFmt w:val="bullet"/>
      <w:pStyle w:val="3-Titre3"/>
      <w:lvlText w:val=""/>
      <w:lvlJc w:val="left"/>
      <w:pPr>
        <w:ind w:left="720" w:hanging="360"/>
      </w:pPr>
      <w:rPr>
        <w:rFonts w:ascii="Symbol" w:hAnsi="Symbol" w:hint="default"/>
        <w:color w:val="581D74"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4"/>
  </w:num>
  <w:num w:numId="5">
    <w:abstractNumId w:val="0"/>
  </w:num>
  <w:num w:numId="6">
    <w:abstractNumId w:val="14"/>
  </w:num>
  <w:num w:numId="7">
    <w:abstractNumId w:val="13"/>
  </w:num>
  <w:num w:numId="8">
    <w:abstractNumId w:val="14"/>
  </w:num>
  <w:num w:numId="9">
    <w:abstractNumId w:val="14"/>
  </w:num>
  <w:num w:numId="10">
    <w:abstractNumId w:val="13"/>
  </w:num>
  <w:num w:numId="11">
    <w:abstractNumId w:val="12"/>
  </w:num>
  <w:num w:numId="12">
    <w:abstractNumId w:val="22"/>
  </w:num>
  <w:num w:numId="13">
    <w:abstractNumId w:val="20"/>
  </w:num>
  <w:num w:numId="14">
    <w:abstractNumId w:val="3"/>
  </w:num>
  <w:num w:numId="15">
    <w:abstractNumId w:val="6"/>
  </w:num>
  <w:num w:numId="16">
    <w:abstractNumId w:val="17"/>
  </w:num>
  <w:num w:numId="17">
    <w:abstractNumId w:val="11"/>
  </w:num>
  <w:num w:numId="18">
    <w:abstractNumId w:val="16"/>
  </w:num>
  <w:num w:numId="19">
    <w:abstractNumId w:val="4"/>
  </w:num>
  <w:num w:numId="20">
    <w:abstractNumId w:val="10"/>
  </w:num>
  <w:num w:numId="21">
    <w:abstractNumId w:val="18"/>
  </w:num>
  <w:num w:numId="22">
    <w:abstractNumId w:val="15"/>
  </w:num>
  <w:num w:numId="23">
    <w:abstractNumId w:val="5"/>
  </w:num>
  <w:num w:numId="24">
    <w:abstractNumId w:val="9"/>
  </w:num>
  <w:num w:numId="25">
    <w:abstractNumId w:val="8"/>
  </w:num>
  <w:num w:numId="26">
    <w:abstractNumId w:val="21"/>
  </w:num>
  <w:num w:numId="27">
    <w:abstractNumId w:val="19"/>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47457">
      <o:colormru v:ext="edit" colors="#581d74,#e9dddd,#e7d5e7,#a678ae,#c5b5b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572"/>
    <w:rsid w:val="000018E0"/>
    <w:rsid w:val="00002024"/>
    <w:rsid w:val="0000231B"/>
    <w:rsid w:val="00002993"/>
    <w:rsid w:val="000031BB"/>
    <w:rsid w:val="0000380E"/>
    <w:rsid w:val="0000413E"/>
    <w:rsid w:val="00010138"/>
    <w:rsid w:val="00010E99"/>
    <w:rsid w:val="00010F31"/>
    <w:rsid w:val="00013367"/>
    <w:rsid w:val="00014DA1"/>
    <w:rsid w:val="00014DE5"/>
    <w:rsid w:val="00015E43"/>
    <w:rsid w:val="000161F0"/>
    <w:rsid w:val="0002116A"/>
    <w:rsid w:val="00023FE3"/>
    <w:rsid w:val="0002466C"/>
    <w:rsid w:val="00024A4F"/>
    <w:rsid w:val="000255C0"/>
    <w:rsid w:val="00026276"/>
    <w:rsid w:val="0003184A"/>
    <w:rsid w:val="00033CA9"/>
    <w:rsid w:val="00034807"/>
    <w:rsid w:val="0003593A"/>
    <w:rsid w:val="000374CB"/>
    <w:rsid w:val="0004237C"/>
    <w:rsid w:val="0004360D"/>
    <w:rsid w:val="00044661"/>
    <w:rsid w:val="00044B44"/>
    <w:rsid w:val="00046878"/>
    <w:rsid w:val="00046924"/>
    <w:rsid w:val="00047827"/>
    <w:rsid w:val="00051528"/>
    <w:rsid w:val="00053F84"/>
    <w:rsid w:val="00054E0B"/>
    <w:rsid w:val="0005756A"/>
    <w:rsid w:val="000624A9"/>
    <w:rsid w:val="00064FC3"/>
    <w:rsid w:val="000705B7"/>
    <w:rsid w:val="00070E7E"/>
    <w:rsid w:val="00071054"/>
    <w:rsid w:val="00072173"/>
    <w:rsid w:val="00072298"/>
    <w:rsid w:val="00072C04"/>
    <w:rsid w:val="00073670"/>
    <w:rsid w:val="00073C6E"/>
    <w:rsid w:val="000740BB"/>
    <w:rsid w:val="00074BBE"/>
    <w:rsid w:val="00075135"/>
    <w:rsid w:val="000751CA"/>
    <w:rsid w:val="000767C8"/>
    <w:rsid w:val="00077ED8"/>
    <w:rsid w:val="00081723"/>
    <w:rsid w:val="00081D5C"/>
    <w:rsid w:val="000835E9"/>
    <w:rsid w:val="00083913"/>
    <w:rsid w:val="000842BA"/>
    <w:rsid w:val="00085982"/>
    <w:rsid w:val="00085CE0"/>
    <w:rsid w:val="00087ABC"/>
    <w:rsid w:val="00087C4B"/>
    <w:rsid w:val="000901A2"/>
    <w:rsid w:val="00091745"/>
    <w:rsid w:val="00091803"/>
    <w:rsid w:val="00092064"/>
    <w:rsid w:val="00092244"/>
    <w:rsid w:val="00092942"/>
    <w:rsid w:val="00092DBF"/>
    <w:rsid w:val="000933FD"/>
    <w:rsid w:val="0009419E"/>
    <w:rsid w:val="000941F1"/>
    <w:rsid w:val="00095714"/>
    <w:rsid w:val="00095CF7"/>
    <w:rsid w:val="00095FEE"/>
    <w:rsid w:val="00096514"/>
    <w:rsid w:val="000972F0"/>
    <w:rsid w:val="00097BAF"/>
    <w:rsid w:val="000A0838"/>
    <w:rsid w:val="000A1619"/>
    <w:rsid w:val="000A28DC"/>
    <w:rsid w:val="000A320F"/>
    <w:rsid w:val="000A4BB1"/>
    <w:rsid w:val="000B0254"/>
    <w:rsid w:val="000B2846"/>
    <w:rsid w:val="000B53C4"/>
    <w:rsid w:val="000B53D1"/>
    <w:rsid w:val="000B5F73"/>
    <w:rsid w:val="000B69E9"/>
    <w:rsid w:val="000B739A"/>
    <w:rsid w:val="000C22B1"/>
    <w:rsid w:val="000C232A"/>
    <w:rsid w:val="000C441D"/>
    <w:rsid w:val="000C530B"/>
    <w:rsid w:val="000C5712"/>
    <w:rsid w:val="000C70E0"/>
    <w:rsid w:val="000C798A"/>
    <w:rsid w:val="000D2513"/>
    <w:rsid w:val="000D4FC3"/>
    <w:rsid w:val="000D583E"/>
    <w:rsid w:val="000E0C0F"/>
    <w:rsid w:val="000E1EDF"/>
    <w:rsid w:val="000E2F9E"/>
    <w:rsid w:val="000E7E26"/>
    <w:rsid w:val="000F4FB7"/>
    <w:rsid w:val="000F5F78"/>
    <w:rsid w:val="000F6741"/>
    <w:rsid w:val="000F7595"/>
    <w:rsid w:val="00100D2B"/>
    <w:rsid w:val="00100EEE"/>
    <w:rsid w:val="00101595"/>
    <w:rsid w:val="00105F42"/>
    <w:rsid w:val="001063B2"/>
    <w:rsid w:val="00110FC2"/>
    <w:rsid w:val="0011138C"/>
    <w:rsid w:val="00111393"/>
    <w:rsid w:val="001124DB"/>
    <w:rsid w:val="00116486"/>
    <w:rsid w:val="0011726B"/>
    <w:rsid w:val="00117FD9"/>
    <w:rsid w:val="00122372"/>
    <w:rsid w:val="00133468"/>
    <w:rsid w:val="00133F24"/>
    <w:rsid w:val="00134813"/>
    <w:rsid w:val="00137DF2"/>
    <w:rsid w:val="0014072C"/>
    <w:rsid w:val="00140952"/>
    <w:rsid w:val="00141DBB"/>
    <w:rsid w:val="001433F9"/>
    <w:rsid w:val="0014371F"/>
    <w:rsid w:val="00144B76"/>
    <w:rsid w:val="0015136C"/>
    <w:rsid w:val="00152315"/>
    <w:rsid w:val="00152513"/>
    <w:rsid w:val="0015269E"/>
    <w:rsid w:val="00152AA1"/>
    <w:rsid w:val="001538AF"/>
    <w:rsid w:val="00156301"/>
    <w:rsid w:val="00156A63"/>
    <w:rsid w:val="00161DD9"/>
    <w:rsid w:val="00164579"/>
    <w:rsid w:val="001659A3"/>
    <w:rsid w:val="00165C78"/>
    <w:rsid w:val="001664D9"/>
    <w:rsid w:val="00166824"/>
    <w:rsid w:val="00166CFB"/>
    <w:rsid w:val="00170159"/>
    <w:rsid w:val="001718AB"/>
    <w:rsid w:val="001743F4"/>
    <w:rsid w:val="00175E6C"/>
    <w:rsid w:val="00177E46"/>
    <w:rsid w:val="001810E2"/>
    <w:rsid w:val="0018223D"/>
    <w:rsid w:val="00184182"/>
    <w:rsid w:val="0018475E"/>
    <w:rsid w:val="00186B2A"/>
    <w:rsid w:val="00187352"/>
    <w:rsid w:val="00187F83"/>
    <w:rsid w:val="001933C4"/>
    <w:rsid w:val="001952A5"/>
    <w:rsid w:val="001A104E"/>
    <w:rsid w:val="001A3509"/>
    <w:rsid w:val="001A36A0"/>
    <w:rsid w:val="001A460E"/>
    <w:rsid w:val="001A7625"/>
    <w:rsid w:val="001B0018"/>
    <w:rsid w:val="001B3026"/>
    <w:rsid w:val="001B3A6E"/>
    <w:rsid w:val="001B3B09"/>
    <w:rsid w:val="001B4331"/>
    <w:rsid w:val="001B4E79"/>
    <w:rsid w:val="001B5490"/>
    <w:rsid w:val="001B5774"/>
    <w:rsid w:val="001B6129"/>
    <w:rsid w:val="001B625A"/>
    <w:rsid w:val="001B6DFE"/>
    <w:rsid w:val="001B709A"/>
    <w:rsid w:val="001C14E4"/>
    <w:rsid w:val="001C14EE"/>
    <w:rsid w:val="001C1547"/>
    <w:rsid w:val="001C300C"/>
    <w:rsid w:val="001C412F"/>
    <w:rsid w:val="001C44B6"/>
    <w:rsid w:val="001C4A4A"/>
    <w:rsid w:val="001C5950"/>
    <w:rsid w:val="001D0F46"/>
    <w:rsid w:val="001D3253"/>
    <w:rsid w:val="001D4313"/>
    <w:rsid w:val="001E282D"/>
    <w:rsid w:val="001E2DCF"/>
    <w:rsid w:val="001E3E42"/>
    <w:rsid w:val="001E46C0"/>
    <w:rsid w:val="001E49AA"/>
    <w:rsid w:val="001F0364"/>
    <w:rsid w:val="001F0A11"/>
    <w:rsid w:val="001F16E2"/>
    <w:rsid w:val="001F19C8"/>
    <w:rsid w:val="001F3181"/>
    <w:rsid w:val="001F334F"/>
    <w:rsid w:val="001F4519"/>
    <w:rsid w:val="001F4CEF"/>
    <w:rsid w:val="001F4D6B"/>
    <w:rsid w:val="001F51B1"/>
    <w:rsid w:val="001F5EFA"/>
    <w:rsid w:val="00201BB3"/>
    <w:rsid w:val="00201CD1"/>
    <w:rsid w:val="0020328D"/>
    <w:rsid w:val="00203435"/>
    <w:rsid w:val="0020405F"/>
    <w:rsid w:val="00205600"/>
    <w:rsid w:val="00205B44"/>
    <w:rsid w:val="00207C8E"/>
    <w:rsid w:val="0021191F"/>
    <w:rsid w:val="00211BEA"/>
    <w:rsid w:val="002152AC"/>
    <w:rsid w:val="002251D3"/>
    <w:rsid w:val="00226C19"/>
    <w:rsid w:val="0022778A"/>
    <w:rsid w:val="00236B83"/>
    <w:rsid w:val="00240367"/>
    <w:rsid w:val="00244A4C"/>
    <w:rsid w:val="00244A6A"/>
    <w:rsid w:val="0024634D"/>
    <w:rsid w:val="0024649C"/>
    <w:rsid w:val="002472D9"/>
    <w:rsid w:val="0025084D"/>
    <w:rsid w:val="00250E2C"/>
    <w:rsid w:val="00251F2F"/>
    <w:rsid w:val="00252695"/>
    <w:rsid w:val="002546D5"/>
    <w:rsid w:val="00254D4F"/>
    <w:rsid w:val="00257F53"/>
    <w:rsid w:val="00260A6F"/>
    <w:rsid w:val="00261633"/>
    <w:rsid w:val="00264FE8"/>
    <w:rsid w:val="002652BC"/>
    <w:rsid w:val="002673A4"/>
    <w:rsid w:val="00267B80"/>
    <w:rsid w:val="00271091"/>
    <w:rsid w:val="00272914"/>
    <w:rsid w:val="002738A4"/>
    <w:rsid w:val="002748D8"/>
    <w:rsid w:val="00275832"/>
    <w:rsid w:val="0027625E"/>
    <w:rsid w:val="00282C7E"/>
    <w:rsid w:val="0028617B"/>
    <w:rsid w:val="0028677A"/>
    <w:rsid w:val="0029300E"/>
    <w:rsid w:val="002A167E"/>
    <w:rsid w:val="002A3925"/>
    <w:rsid w:val="002A49F1"/>
    <w:rsid w:val="002A51F9"/>
    <w:rsid w:val="002A5EFD"/>
    <w:rsid w:val="002A623D"/>
    <w:rsid w:val="002A6A0B"/>
    <w:rsid w:val="002A7D55"/>
    <w:rsid w:val="002B17E4"/>
    <w:rsid w:val="002B2219"/>
    <w:rsid w:val="002B31FC"/>
    <w:rsid w:val="002B33BA"/>
    <w:rsid w:val="002B3D74"/>
    <w:rsid w:val="002B4EDE"/>
    <w:rsid w:val="002B606E"/>
    <w:rsid w:val="002C0F06"/>
    <w:rsid w:val="002C11D6"/>
    <w:rsid w:val="002C2EA6"/>
    <w:rsid w:val="002C3343"/>
    <w:rsid w:val="002C43B3"/>
    <w:rsid w:val="002C7CEE"/>
    <w:rsid w:val="002D0C20"/>
    <w:rsid w:val="002D2C4B"/>
    <w:rsid w:val="002D404C"/>
    <w:rsid w:val="002D5FBF"/>
    <w:rsid w:val="002E07A9"/>
    <w:rsid w:val="002E142E"/>
    <w:rsid w:val="002E2F2F"/>
    <w:rsid w:val="002E38AC"/>
    <w:rsid w:val="002E53DC"/>
    <w:rsid w:val="002E65A5"/>
    <w:rsid w:val="002F09C5"/>
    <w:rsid w:val="002F1D93"/>
    <w:rsid w:val="002F22C9"/>
    <w:rsid w:val="002F23FF"/>
    <w:rsid w:val="002F3AB4"/>
    <w:rsid w:val="002F477C"/>
    <w:rsid w:val="002F71FF"/>
    <w:rsid w:val="002F7853"/>
    <w:rsid w:val="00302EBA"/>
    <w:rsid w:val="00304969"/>
    <w:rsid w:val="00305441"/>
    <w:rsid w:val="003055AC"/>
    <w:rsid w:val="00307FB3"/>
    <w:rsid w:val="0031103F"/>
    <w:rsid w:val="00311240"/>
    <w:rsid w:val="003117D3"/>
    <w:rsid w:val="00312428"/>
    <w:rsid w:val="00312809"/>
    <w:rsid w:val="0031432A"/>
    <w:rsid w:val="00316760"/>
    <w:rsid w:val="003175A2"/>
    <w:rsid w:val="00317EDB"/>
    <w:rsid w:val="0032017C"/>
    <w:rsid w:val="003216C1"/>
    <w:rsid w:val="0032205F"/>
    <w:rsid w:val="003243B7"/>
    <w:rsid w:val="003248C2"/>
    <w:rsid w:val="00324FFE"/>
    <w:rsid w:val="00334575"/>
    <w:rsid w:val="00334795"/>
    <w:rsid w:val="003352C1"/>
    <w:rsid w:val="0033682E"/>
    <w:rsid w:val="00342AE5"/>
    <w:rsid w:val="00342CA2"/>
    <w:rsid w:val="0034351D"/>
    <w:rsid w:val="00347B0B"/>
    <w:rsid w:val="00350DEB"/>
    <w:rsid w:val="00351417"/>
    <w:rsid w:val="003526DE"/>
    <w:rsid w:val="003540B1"/>
    <w:rsid w:val="00354663"/>
    <w:rsid w:val="00355BC8"/>
    <w:rsid w:val="00357778"/>
    <w:rsid w:val="00361318"/>
    <w:rsid w:val="003656E3"/>
    <w:rsid w:val="00365B98"/>
    <w:rsid w:val="003663A5"/>
    <w:rsid w:val="00366BF3"/>
    <w:rsid w:val="0036765D"/>
    <w:rsid w:val="00370FF6"/>
    <w:rsid w:val="00372AF1"/>
    <w:rsid w:val="00373E01"/>
    <w:rsid w:val="00375BEC"/>
    <w:rsid w:val="0038287D"/>
    <w:rsid w:val="003834CA"/>
    <w:rsid w:val="00384CB0"/>
    <w:rsid w:val="00386D87"/>
    <w:rsid w:val="003875EB"/>
    <w:rsid w:val="00387A9D"/>
    <w:rsid w:val="00391739"/>
    <w:rsid w:val="003924AC"/>
    <w:rsid w:val="00392FD2"/>
    <w:rsid w:val="003A19D4"/>
    <w:rsid w:val="003A2000"/>
    <w:rsid w:val="003A2972"/>
    <w:rsid w:val="003A2CB2"/>
    <w:rsid w:val="003A39F2"/>
    <w:rsid w:val="003A4476"/>
    <w:rsid w:val="003B1668"/>
    <w:rsid w:val="003B32C1"/>
    <w:rsid w:val="003C1127"/>
    <w:rsid w:val="003C15F3"/>
    <w:rsid w:val="003C2376"/>
    <w:rsid w:val="003C2DEB"/>
    <w:rsid w:val="003C4770"/>
    <w:rsid w:val="003C6574"/>
    <w:rsid w:val="003C6CD3"/>
    <w:rsid w:val="003C78A7"/>
    <w:rsid w:val="003C7955"/>
    <w:rsid w:val="003D0388"/>
    <w:rsid w:val="003D18E3"/>
    <w:rsid w:val="003D392D"/>
    <w:rsid w:val="003D5092"/>
    <w:rsid w:val="003D53DC"/>
    <w:rsid w:val="003D55FA"/>
    <w:rsid w:val="003D684B"/>
    <w:rsid w:val="003D7FC0"/>
    <w:rsid w:val="003E17E2"/>
    <w:rsid w:val="003E2885"/>
    <w:rsid w:val="003E4CF1"/>
    <w:rsid w:val="003E4FF7"/>
    <w:rsid w:val="003E6DC1"/>
    <w:rsid w:val="003F1C69"/>
    <w:rsid w:val="003F27B4"/>
    <w:rsid w:val="003F2BC3"/>
    <w:rsid w:val="003F5647"/>
    <w:rsid w:val="003F5682"/>
    <w:rsid w:val="003F6938"/>
    <w:rsid w:val="00400560"/>
    <w:rsid w:val="00400B40"/>
    <w:rsid w:val="00402AE8"/>
    <w:rsid w:val="004037F1"/>
    <w:rsid w:val="004048D3"/>
    <w:rsid w:val="00404A0E"/>
    <w:rsid w:val="00405D7A"/>
    <w:rsid w:val="00407A4E"/>
    <w:rsid w:val="004123A4"/>
    <w:rsid w:val="0041271C"/>
    <w:rsid w:val="00414156"/>
    <w:rsid w:val="004158A7"/>
    <w:rsid w:val="004176FB"/>
    <w:rsid w:val="00417774"/>
    <w:rsid w:val="00421480"/>
    <w:rsid w:val="00422BD3"/>
    <w:rsid w:val="00425E88"/>
    <w:rsid w:val="0042606E"/>
    <w:rsid w:val="0043153C"/>
    <w:rsid w:val="004329D0"/>
    <w:rsid w:val="00432DD9"/>
    <w:rsid w:val="00434454"/>
    <w:rsid w:val="004366C9"/>
    <w:rsid w:val="00440E12"/>
    <w:rsid w:val="0044203C"/>
    <w:rsid w:val="00444E1F"/>
    <w:rsid w:val="00445133"/>
    <w:rsid w:val="00445A67"/>
    <w:rsid w:val="00446BF6"/>
    <w:rsid w:val="00453D34"/>
    <w:rsid w:val="004549D8"/>
    <w:rsid w:val="00454AE0"/>
    <w:rsid w:val="00455BAC"/>
    <w:rsid w:val="00460A89"/>
    <w:rsid w:val="004623A5"/>
    <w:rsid w:val="004639EA"/>
    <w:rsid w:val="00465269"/>
    <w:rsid w:val="0046727C"/>
    <w:rsid w:val="00470A06"/>
    <w:rsid w:val="00471D08"/>
    <w:rsid w:val="004726BB"/>
    <w:rsid w:val="00473928"/>
    <w:rsid w:val="00477008"/>
    <w:rsid w:val="00477C20"/>
    <w:rsid w:val="004859B9"/>
    <w:rsid w:val="004910FD"/>
    <w:rsid w:val="00491E5A"/>
    <w:rsid w:val="00492533"/>
    <w:rsid w:val="00492622"/>
    <w:rsid w:val="00492A31"/>
    <w:rsid w:val="00496384"/>
    <w:rsid w:val="00497F57"/>
    <w:rsid w:val="004A2D13"/>
    <w:rsid w:val="004A3D85"/>
    <w:rsid w:val="004A7508"/>
    <w:rsid w:val="004A79F3"/>
    <w:rsid w:val="004B0A0A"/>
    <w:rsid w:val="004B361C"/>
    <w:rsid w:val="004B4B04"/>
    <w:rsid w:val="004B5B12"/>
    <w:rsid w:val="004C28D6"/>
    <w:rsid w:val="004C57CF"/>
    <w:rsid w:val="004C6046"/>
    <w:rsid w:val="004C60A9"/>
    <w:rsid w:val="004D305F"/>
    <w:rsid w:val="004D338E"/>
    <w:rsid w:val="004D3F3B"/>
    <w:rsid w:val="004D498D"/>
    <w:rsid w:val="004E0261"/>
    <w:rsid w:val="004E1C5B"/>
    <w:rsid w:val="004E1CF2"/>
    <w:rsid w:val="004E3EE3"/>
    <w:rsid w:val="004E42DE"/>
    <w:rsid w:val="004E47DE"/>
    <w:rsid w:val="004E6A7D"/>
    <w:rsid w:val="004E7435"/>
    <w:rsid w:val="004E7EA0"/>
    <w:rsid w:val="004F0A45"/>
    <w:rsid w:val="004F44A8"/>
    <w:rsid w:val="004F4AB8"/>
    <w:rsid w:val="004F4C1E"/>
    <w:rsid w:val="004F4E97"/>
    <w:rsid w:val="004F5110"/>
    <w:rsid w:val="00501B55"/>
    <w:rsid w:val="00506C6D"/>
    <w:rsid w:val="00507B5C"/>
    <w:rsid w:val="0051131B"/>
    <w:rsid w:val="00511CF3"/>
    <w:rsid w:val="005124B0"/>
    <w:rsid w:val="00512D7E"/>
    <w:rsid w:val="00514B6F"/>
    <w:rsid w:val="0051630E"/>
    <w:rsid w:val="00516E42"/>
    <w:rsid w:val="00525B14"/>
    <w:rsid w:val="00526ABF"/>
    <w:rsid w:val="00527DB0"/>
    <w:rsid w:val="00532992"/>
    <w:rsid w:val="0053386B"/>
    <w:rsid w:val="005422A8"/>
    <w:rsid w:val="00543173"/>
    <w:rsid w:val="00543B3A"/>
    <w:rsid w:val="00544880"/>
    <w:rsid w:val="00546166"/>
    <w:rsid w:val="005516BB"/>
    <w:rsid w:val="0055224F"/>
    <w:rsid w:val="005533E3"/>
    <w:rsid w:val="005547E2"/>
    <w:rsid w:val="005550D7"/>
    <w:rsid w:val="00555932"/>
    <w:rsid w:val="00555C3C"/>
    <w:rsid w:val="005639D9"/>
    <w:rsid w:val="00571AA2"/>
    <w:rsid w:val="00572D78"/>
    <w:rsid w:val="00574FB1"/>
    <w:rsid w:val="005763AC"/>
    <w:rsid w:val="00577FF5"/>
    <w:rsid w:val="005836F2"/>
    <w:rsid w:val="00585A01"/>
    <w:rsid w:val="00585F1A"/>
    <w:rsid w:val="00587311"/>
    <w:rsid w:val="00587755"/>
    <w:rsid w:val="0059103C"/>
    <w:rsid w:val="00592687"/>
    <w:rsid w:val="00595CCC"/>
    <w:rsid w:val="00596CEB"/>
    <w:rsid w:val="005975A7"/>
    <w:rsid w:val="00597C12"/>
    <w:rsid w:val="005A0C4D"/>
    <w:rsid w:val="005A29AD"/>
    <w:rsid w:val="005A2A97"/>
    <w:rsid w:val="005A2EE1"/>
    <w:rsid w:val="005A390E"/>
    <w:rsid w:val="005A460B"/>
    <w:rsid w:val="005A4EA6"/>
    <w:rsid w:val="005A55B7"/>
    <w:rsid w:val="005A5890"/>
    <w:rsid w:val="005A6687"/>
    <w:rsid w:val="005A67AB"/>
    <w:rsid w:val="005A7E6F"/>
    <w:rsid w:val="005B2219"/>
    <w:rsid w:val="005B4058"/>
    <w:rsid w:val="005C04BB"/>
    <w:rsid w:val="005C0F26"/>
    <w:rsid w:val="005C17E3"/>
    <w:rsid w:val="005C3F8A"/>
    <w:rsid w:val="005C58D8"/>
    <w:rsid w:val="005C6077"/>
    <w:rsid w:val="005C61A8"/>
    <w:rsid w:val="005D063B"/>
    <w:rsid w:val="005D181C"/>
    <w:rsid w:val="005D287A"/>
    <w:rsid w:val="005D3177"/>
    <w:rsid w:val="005D3557"/>
    <w:rsid w:val="005D3EB9"/>
    <w:rsid w:val="005D51CC"/>
    <w:rsid w:val="005E02F3"/>
    <w:rsid w:val="005E1E5E"/>
    <w:rsid w:val="005E67E6"/>
    <w:rsid w:val="005E77F3"/>
    <w:rsid w:val="005F22CA"/>
    <w:rsid w:val="005F2F95"/>
    <w:rsid w:val="005F5698"/>
    <w:rsid w:val="005F7448"/>
    <w:rsid w:val="00601E7B"/>
    <w:rsid w:val="00602E64"/>
    <w:rsid w:val="006060A1"/>
    <w:rsid w:val="00610F9D"/>
    <w:rsid w:val="00616808"/>
    <w:rsid w:val="006168B1"/>
    <w:rsid w:val="006170E8"/>
    <w:rsid w:val="00622412"/>
    <w:rsid w:val="00626302"/>
    <w:rsid w:val="00631C78"/>
    <w:rsid w:val="006344DA"/>
    <w:rsid w:val="006364BE"/>
    <w:rsid w:val="00636C7E"/>
    <w:rsid w:val="0063738C"/>
    <w:rsid w:val="00640674"/>
    <w:rsid w:val="00642089"/>
    <w:rsid w:val="00643756"/>
    <w:rsid w:val="0064394E"/>
    <w:rsid w:val="0064622C"/>
    <w:rsid w:val="006528FF"/>
    <w:rsid w:val="0065290A"/>
    <w:rsid w:val="00653FBC"/>
    <w:rsid w:val="0065769C"/>
    <w:rsid w:val="006627D0"/>
    <w:rsid w:val="00666E0F"/>
    <w:rsid w:val="006672DE"/>
    <w:rsid w:val="00667FBB"/>
    <w:rsid w:val="00671337"/>
    <w:rsid w:val="00671907"/>
    <w:rsid w:val="00671FC1"/>
    <w:rsid w:val="006727D7"/>
    <w:rsid w:val="006759A9"/>
    <w:rsid w:val="006761F7"/>
    <w:rsid w:val="00676461"/>
    <w:rsid w:val="00681899"/>
    <w:rsid w:val="0068238E"/>
    <w:rsid w:val="006832A7"/>
    <w:rsid w:val="00683BA0"/>
    <w:rsid w:val="006877E2"/>
    <w:rsid w:val="00690870"/>
    <w:rsid w:val="0069247C"/>
    <w:rsid w:val="0069467E"/>
    <w:rsid w:val="0069486C"/>
    <w:rsid w:val="00694968"/>
    <w:rsid w:val="00695086"/>
    <w:rsid w:val="00696063"/>
    <w:rsid w:val="0069633C"/>
    <w:rsid w:val="00696668"/>
    <w:rsid w:val="006971AB"/>
    <w:rsid w:val="0069799C"/>
    <w:rsid w:val="00697C38"/>
    <w:rsid w:val="006A083C"/>
    <w:rsid w:val="006A0CB7"/>
    <w:rsid w:val="006A24E6"/>
    <w:rsid w:val="006A27E4"/>
    <w:rsid w:val="006A3A1A"/>
    <w:rsid w:val="006A3AC6"/>
    <w:rsid w:val="006A6B0B"/>
    <w:rsid w:val="006A6B70"/>
    <w:rsid w:val="006A6E64"/>
    <w:rsid w:val="006A7F51"/>
    <w:rsid w:val="006B0C99"/>
    <w:rsid w:val="006B0DC8"/>
    <w:rsid w:val="006B2D1A"/>
    <w:rsid w:val="006B3400"/>
    <w:rsid w:val="006B4510"/>
    <w:rsid w:val="006B4F9D"/>
    <w:rsid w:val="006B66E2"/>
    <w:rsid w:val="006B6EF0"/>
    <w:rsid w:val="006B7E7B"/>
    <w:rsid w:val="006C12FD"/>
    <w:rsid w:val="006C1830"/>
    <w:rsid w:val="006C2796"/>
    <w:rsid w:val="006C2FAE"/>
    <w:rsid w:val="006C3CC3"/>
    <w:rsid w:val="006C3F71"/>
    <w:rsid w:val="006C491B"/>
    <w:rsid w:val="006C6BF8"/>
    <w:rsid w:val="006D1A95"/>
    <w:rsid w:val="006D2017"/>
    <w:rsid w:val="006D2E97"/>
    <w:rsid w:val="006D3934"/>
    <w:rsid w:val="006D42E9"/>
    <w:rsid w:val="006D54A9"/>
    <w:rsid w:val="006E2BE8"/>
    <w:rsid w:val="006E3737"/>
    <w:rsid w:val="006E5EA4"/>
    <w:rsid w:val="006E6B17"/>
    <w:rsid w:val="006E6F26"/>
    <w:rsid w:val="006F0382"/>
    <w:rsid w:val="006F4353"/>
    <w:rsid w:val="006F4B1C"/>
    <w:rsid w:val="007001B6"/>
    <w:rsid w:val="00705547"/>
    <w:rsid w:val="00707D42"/>
    <w:rsid w:val="007108CA"/>
    <w:rsid w:val="00712CDC"/>
    <w:rsid w:val="007131EA"/>
    <w:rsid w:val="0071665F"/>
    <w:rsid w:val="00716BC4"/>
    <w:rsid w:val="0071789F"/>
    <w:rsid w:val="00717F05"/>
    <w:rsid w:val="00723F8F"/>
    <w:rsid w:val="00724989"/>
    <w:rsid w:val="0072508B"/>
    <w:rsid w:val="0073114C"/>
    <w:rsid w:val="007316B3"/>
    <w:rsid w:val="00740510"/>
    <w:rsid w:val="00741B39"/>
    <w:rsid w:val="00742F70"/>
    <w:rsid w:val="007442EC"/>
    <w:rsid w:val="00745EA3"/>
    <w:rsid w:val="00751937"/>
    <w:rsid w:val="0075196D"/>
    <w:rsid w:val="00751E50"/>
    <w:rsid w:val="0075500C"/>
    <w:rsid w:val="007568ED"/>
    <w:rsid w:val="007577B6"/>
    <w:rsid w:val="00757D6A"/>
    <w:rsid w:val="00760001"/>
    <w:rsid w:val="007611AA"/>
    <w:rsid w:val="00761630"/>
    <w:rsid w:val="007635AE"/>
    <w:rsid w:val="007705BC"/>
    <w:rsid w:val="007742A0"/>
    <w:rsid w:val="00775A0F"/>
    <w:rsid w:val="0078111C"/>
    <w:rsid w:val="007855BE"/>
    <w:rsid w:val="00786556"/>
    <w:rsid w:val="007870EA"/>
    <w:rsid w:val="007907D8"/>
    <w:rsid w:val="00791077"/>
    <w:rsid w:val="007930DE"/>
    <w:rsid w:val="0079430C"/>
    <w:rsid w:val="00795BED"/>
    <w:rsid w:val="00796209"/>
    <w:rsid w:val="00796599"/>
    <w:rsid w:val="00796BE8"/>
    <w:rsid w:val="007A053D"/>
    <w:rsid w:val="007A39D6"/>
    <w:rsid w:val="007A5E81"/>
    <w:rsid w:val="007A60E2"/>
    <w:rsid w:val="007A636E"/>
    <w:rsid w:val="007A6AE1"/>
    <w:rsid w:val="007B28E9"/>
    <w:rsid w:val="007B2EA7"/>
    <w:rsid w:val="007B3F66"/>
    <w:rsid w:val="007B44F8"/>
    <w:rsid w:val="007B6B17"/>
    <w:rsid w:val="007B75CA"/>
    <w:rsid w:val="007B7732"/>
    <w:rsid w:val="007B7D80"/>
    <w:rsid w:val="007C13F6"/>
    <w:rsid w:val="007C2FE1"/>
    <w:rsid w:val="007C32E2"/>
    <w:rsid w:val="007C41A6"/>
    <w:rsid w:val="007C6401"/>
    <w:rsid w:val="007C7452"/>
    <w:rsid w:val="007C7726"/>
    <w:rsid w:val="007C7DB2"/>
    <w:rsid w:val="007D54C9"/>
    <w:rsid w:val="007D62F6"/>
    <w:rsid w:val="007E18ED"/>
    <w:rsid w:val="007E5512"/>
    <w:rsid w:val="007E761A"/>
    <w:rsid w:val="007F0099"/>
    <w:rsid w:val="007F1391"/>
    <w:rsid w:val="007F27C6"/>
    <w:rsid w:val="007F2F39"/>
    <w:rsid w:val="007F3561"/>
    <w:rsid w:val="007F3870"/>
    <w:rsid w:val="007F5E7C"/>
    <w:rsid w:val="007F7973"/>
    <w:rsid w:val="007F7F50"/>
    <w:rsid w:val="008002C4"/>
    <w:rsid w:val="00800B24"/>
    <w:rsid w:val="0080214E"/>
    <w:rsid w:val="00802170"/>
    <w:rsid w:val="00802C42"/>
    <w:rsid w:val="00803682"/>
    <w:rsid w:val="0080537F"/>
    <w:rsid w:val="00805E69"/>
    <w:rsid w:val="008075E1"/>
    <w:rsid w:val="00807F1C"/>
    <w:rsid w:val="00807F6B"/>
    <w:rsid w:val="00810256"/>
    <w:rsid w:val="00811737"/>
    <w:rsid w:val="00811ECB"/>
    <w:rsid w:val="00813947"/>
    <w:rsid w:val="00814A23"/>
    <w:rsid w:val="008152C2"/>
    <w:rsid w:val="008167D8"/>
    <w:rsid w:val="0081746A"/>
    <w:rsid w:val="00817A07"/>
    <w:rsid w:val="00820965"/>
    <w:rsid w:val="00822B8C"/>
    <w:rsid w:val="00822F89"/>
    <w:rsid w:val="008315DF"/>
    <w:rsid w:val="00832EC7"/>
    <w:rsid w:val="00833736"/>
    <w:rsid w:val="00833C56"/>
    <w:rsid w:val="0083451C"/>
    <w:rsid w:val="00835D32"/>
    <w:rsid w:val="00835E5A"/>
    <w:rsid w:val="00841DCA"/>
    <w:rsid w:val="00844EB5"/>
    <w:rsid w:val="008471ED"/>
    <w:rsid w:val="0084722C"/>
    <w:rsid w:val="008504AD"/>
    <w:rsid w:val="00851421"/>
    <w:rsid w:val="00860369"/>
    <w:rsid w:val="00863298"/>
    <w:rsid w:val="00864734"/>
    <w:rsid w:val="00864888"/>
    <w:rsid w:val="008657A2"/>
    <w:rsid w:val="00865A8B"/>
    <w:rsid w:val="00865C26"/>
    <w:rsid w:val="00867F9F"/>
    <w:rsid w:val="00870B86"/>
    <w:rsid w:val="00871249"/>
    <w:rsid w:val="00872ED6"/>
    <w:rsid w:val="00873BCF"/>
    <w:rsid w:val="00876776"/>
    <w:rsid w:val="008814E1"/>
    <w:rsid w:val="00882754"/>
    <w:rsid w:val="0088442A"/>
    <w:rsid w:val="00884FD2"/>
    <w:rsid w:val="00885158"/>
    <w:rsid w:val="00885882"/>
    <w:rsid w:val="00885F86"/>
    <w:rsid w:val="008907D1"/>
    <w:rsid w:val="0089420C"/>
    <w:rsid w:val="008A0E36"/>
    <w:rsid w:val="008A2C87"/>
    <w:rsid w:val="008A368C"/>
    <w:rsid w:val="008A3BA7"/>
    <w:rsid w:val="008A4827"/>
    <w:rsid w:val="008A484E"/>
    <w:rsid w:val="008A6FCF"/>
    <w:rsid w:val="008B1FF9"/>
    <w:rsid w:val="008B22EE"/>
    <w:rsid w:val="008C30DA"/>
    <w:rsid w:val="008C4CDB"/>
    <w:rsid w:val="008C53DC"/>
    <w:rsid w:val="008D3BAA"/>
    <w:rsid w:val="008D5976"/>
    <w:rsid w:val="008D5F3A"/>
    <w:rsid w:val="008D78FB"/>
    <w:rsid w:val="008E079A"/>
    <w:rsid w:val="008E2B05"/>
    <w:rsid w:val="008E37A3"/>
    <w:rsid w:val="008E4C55"/>
    <w:rsid w:val="008E5835"/>
    <w:rsid w:val="008E6318"/>
    <w:rsid w:val="008E6EFD"/>
    <w:rsid w:val="008E7554"/>
    <w:rsid w:val="008E7752"/>
    <w:rsid w:val="008E7A5C"/>
    <w:rsid w:val="008F1489"/>
    <w:rsid w:val="008F1B9D"/>
    <w:rsid w:val="008F2EEB"/>
    <w:rsid w:val="008F30AB"/>
    <w:rsid w:val="008F4EE7"/>
    <w:rsid w:val="008F6F1C"/>
    <w:rsid w:val="008F7BC6"/>
    <w:rsid w:val="00900747"/>
    <w:rsid w:val="009106D5"/>
    <w:rsid w:val="0091072A"/>
    <w:rsid w:val="00914227"/>
    <w:rsid w:val="0092055D"/>
    <w:rsid w:val="00922378"/>
    <w:rsid w:val="00922675"/>
    <w:rsid w:val="0093558C"/>
    <w:rsid w:val="00936871"/>
    <w:rsid w:val="00937AA5"/>
    <w:rsid w:val="00943AB2"/>
    <w:rsid w:val="0094412C"/>
    <w:rsid w:val="009446BF"/>
    <w:rsid w:val="00945A8F"/>
    <w:rsid w:val="009463E5"/>
    <w:rsid w:val="0095120F"/>
    <w:rsid w:val="0095199A"/>
    <w:rsid w:val="0095273F"/>
    <w:rsid w:val="00953579"/>
    <w:rsid w:val="00953BBF"/>
    <w:rsid w:val="0095488E"/>
    <w:rsid w:val="00957A33"/>
    <w:rsid w:val="00960100"/>
    <w:rsid w:val="00962739"/>
    <w:rsid w:val="009632B2"/>
    <w:rsid w:val="00964470"/>
    <w:rsid w:val="00964E51"/>
    <w:rsid w:val="0096653C"/>
    <w:rsid w:val="00974B5E"/>
    <w:rsid w:val="00975425"/>
    <w:rsid w:val="00976186"/>
    <w:rsid w:val="00976D0F"/>
    <w:rsid w:val="0097776C"/>
    <w:rsid w:val="00982BFB"/>
    <w:rsid w:val="00983704"/>
    <w:rsid w:val="009867C3"/>
    <w:rsid w:val="0098687C"/>
    <w:rsid w:val="00990646"/>
    <w:rsid w:val="00990924"/>
    <w:rsid w:val="009911FC"/>
    <w:rsid w:val="00993749"/>
    <w:rsid w:val="009945FC"/>
    <w:rsid w:val="009A1B49"/>
    <w:rsid w:val="009A6320"/>
    <w:rsid w:val="009B43FC"/>
    <w:rsid w:val="009B53D9"/>
    <w:rsid w:val="009B7437"/>
    <w:rsid w:val="009C3023"/>
    <w:rsid w:val="009C31DD"/>
    <w:rsid w:val="009C3D92"/>
    <w:rsid w:val="009C4976"/>
    <w:rsid w:val="009C4DE5"/>
    <w:rsid w:val="009C54B3"/>
    <w:rsid w:val="009C55FC"/>
    <w:rsid w:val="009D1FBA"/>
    <w:rsid w:val="009D567E"/>
    <w:rsid w:val="009D6E08"/>
    <w:rsid w:val="009E2971"/>
    <w:rsid w:val="009E3E01"/>
    <w:rsid w:val="009E59C4"/>
    <w:rsid w:val="009E5FCF"/>
    <w:rsid w:val="009E7C04"/>
    <w:rsid w:val="009F0686"/>
    <w:rsid w:val="009F132C"/>
    <w:rsid w:val="009F278B"/>
    <w:rsid w:val="009F2ACF"/>
    <w:rsid w:val="009F2FAE"/>
    <w:rsid w:val="009F3AEB"/>
    <w:rsid w:val="009F604E"/>
    <w:rsid w:val="009F7068"/>
    <w:rsid w:val="009F7CF3"/>
    <w:rsid w:val="009F7D88"/>
    <w:rsid w:val="00A01AF2"/>
    <w:rsid w:val="00A01F85"/>
    <w:rsid w:val="00A044FE"/>
    <w:rsid w:val="00A0481A"/>
    <w:rsid w:val="00A0576D"/>
    <w:rsid w:val="00A078A4"/>
    <w:rsid w:val="00A07A9F"/>
    <w:rsid w:val="00A1331E"/>
    <w:rsid w:val="00A155BC"/>
    <w:rsid w:val="00A157B3"/>
    <w:rsid w:val="00A166E6"/>
    <w:rsid w:val="00A17BCB"/>
    <w:rsid w:val="00A22446"/>
    <w:rsid w:val="00A22754"/>
    <w:rsid w:val="00A228C7"/>
    <w:rsid w:val="00A25990"/>
    <w:rsid w:val="00A264C5"/>
    <w:rsid w:val="00A26CA0"/>
    <w:rsid w:val="00A27C22"/>
    <w:rsid w:val="00A36083"/>
    <w:rsid w:val="00A37E45"/>
    <w:rsid w:val="00A41634"/>
    <w:rsid w:val="00A417EB"/>
    <w:rsid w:val="00A424E3"/>
    <w:rsid w:val="00A43361"/>
    <w:rsid w:val="00A44394"/>
    <w:rsid w:val="00A45336"/>
    <w:rsid w:val="00A4533D"/>
    <w:rsid w:val="00A53132"/>
    <w:rsid w:val="00A54159"/>
    <w:rsid w:val="00A5576F"/>
    <w:rsid w:val="00A55874"/>
    <w:rsid w:val="00A55A88"/>
    <w:rsid w:val="00A56C96"/>
    <w:rsid w:val="00A57816"/>
    <w:rsid w:val="00A5791F"/>
    <w:rsid w:val="00A613CC"/>
    <w:rsid w:val="00A613E1"/>
    <w:rsid w:val="00A64B9F"/>
    <w:rsid w:val="00A65CDE"/>
    <w:rsid w:val="00A71D41"/>
    <w:rsid w:val="00A720CF"/>
    <w:rsid w:val="00A72198"/>
    <w:rsid w:val="00A746E0"/>
    <w:rsid w:val="00A8043B"/>
    <w:rsid w:val="00A80C42"/>
    <w:rsid w:val="00A80F16"/>
    <w:rsid w:val="00A821DA"/>
    <w:rsid w:val="00A8244F"/>
    <w:rsid w:val="00A85319"/>
    <w:rsid w:val="00A86B55"/>
    <w:rsid w:val="00A8787C"/>
    <w:rsid w:val="00A87B05"/>
    <w:rsid w:val="00A905D1"/>
    <w:rsid w:val="00A90C7B"/>
    <w:rsid w:val="00A90E30"/>
    <w:rsid w:val="00A91BD0"/>
    <w:rsid w:val="00A92C86"/>
    <w:rsid w:val="00A944EB"/>
    <w:rsid w:val="00A95446"/>
    <w:rsid w:val="00A95E16"/>
    <w:rsid w:val="00A969F6"/>
    <w:rsid w:val="00A97BEA"/>
    <w:rsid w:val="00AA0E74"/>
    <w:rsid w:val="00AA12BF"/>
    <w:rsid w:val="00AA48D2"/>
    <w:rsid w:val="00AB03C8"/>
    <w:rsid w:val="00AB1C7B"/>
    <w:rsid w:val="00AB2BEF"/>
    <w:rsid w:val="00AB4EF9"/>
    <w:rsid w:val="00AB54E5"/>
    <w:rsid w:val="00AB5FF0"/>
    <w:rsid w:val="00AB7CB3"/>
    <w:rsid w:val="00AC0239"/>
    <w:rsid w:val="00AC080E"/>
    <w:rsid w:val="00AC0C3A"/>
    <w:rsid w:val="00AC1997"/>
    <w:rsid w:val="00AC5FD2"/>
    <w:rsid w:val="00AD4EA7"/>
    <w:rsid w:val="00AD7730"/>
    <w:rsid w:val="00AE2587"/>
    <w:rsid w:val="00AE270D"/>
    <w:rsid w:val="00AE690F"/>
    <w:rsid w:val="00AE7180"/>
    <w:rsid w:val="00AF1A35"/>
    <w:rsid w:val="00AF69EA"/>
    <w:rsid w:val="00B02EEF"/>
    <w:rsid w:val="00B047CD"/>
    <w:rsid w:val="00B061C8"/>
    <w:rsid w:val="00B07878"/>
    <w:rsid w:val="00B07B72"/>
    <w:rsid w:val="00B07DC0"/>
    <w:rsid w:val="00B107F6"/>
    <w:rsid w:val="00B10B1F"/>
    <w:rsid w:val="00B11C7D"/>
    <w:rsid w:val="00B12EEA"/>
    <w:rsid w:val="00B12F13"/>
    <w:rsid w:val="00B166FF"/>
    <w:rsid w:val="00B167B3"/>
    <w:rsid w:val="00B17F65"/>
    <w:rsid w:val="00B231F5"/>
    <w:rsid w:val="00B233D8"/>
    <w:rsid w:val="00B25B9B"/>
    <w:rsid w:val="00B26193"/>
    <w:rsid w:val="00B26204"/>
    <w:rsid w:val="00B26475"/>
    <w:rsid w:val="00B26B08"/>
    <w:rsid w:val="00B26DF2"/>
    <w:rsid w:val="00B26EF1"/>
    <w:rsid w:val="00B27781"/>
    <w:rsid w:val="00B277AF"/>
    <w:rsid w:val="00B27B42"/>
    <w:rsid w:val="00B31BD9"/>
    <w:rsid w:val="00B32782"/>
    <w:rsid w:val="00B33053"/>
    <w:rsid w:val="00B342B6"/>
    <w:rsid w:val="00B35BB4"/>
    <w:rsid w:val="00B36CB5"/>
    <w:rsid w:val="00B37D87"/>
    <w:rsid w:val="00B41702"/>
    <w:rsid w:val="00B43380"/>
    <w:rsid w:val="00B44B39"/>
    <w:rsid w:val="00B455DF"/>
    <w:rsid w:val="00B45E3F"/>
    <w:rsid w:val="00B55EEF"/>
    <w:rsid w:val="00B6000E"/>
    <w:rsid w:val="00B6101A"/>
    <w:rsid w:val="00B61775"/>
    <w:rsid w:val="00B636A2"/>
    <w:rsid w:val="00B63731"/>
    <w:rsid w:val="00B6661C"/>
    <w:rsid w:val="00B67A29"/>
    <w:rsid w:val="00B72013"/>
    <w:rsid w:val="00B724C6"/>
    <w:rsid w:val="00B7388A"/>
    <w:rsid w:val="00B738E6"/>
    <w:rsid w:val="00B73983"/>
    <w:rsid w:val="00B7426C"/>
    <w:rsid w:val="00B74F1A"/>
    <w:rsid w:val="00B76A09"/>
    <w:rsid w:val="00B7791F"/>
    <w:rsid w:val="00B77C0A"/>
    <w:rsid w:val="00B8075C"/>
    <w:rsid w:val="00B82AB7"/>
    <w:rsid w:val="00B84B5D"/>
    <w:rsid w:val="00B87F3A"/>
    <w:rsid w:val="00B92365"/>
    <w:rsid w:val="00B92A1A"/>
    <w:rsid w:val="00B93B77"/>
    <w:rsid w:val="00B94009"/>
    <w:rsid w:val="00B952D3"/>
    <w:rsid w:val="00B96DDC"/>
    <w:rsid w:val="00BA087E"/>
    <w:rsid w:val="00BA3488"/>
    <w:rsid w:val="00BB28AC"/>
    <w:rsid w:val="00BB3B12"/>
    <w:rsid w:val="00BB4F7D"/>
    <w:rsid w:val="00BB64E7"/>
    <w:rsid w:val="00BB78F4"/>
    <w:rsid w:val="00BC1197"/>
    <w:rsid w:val="00BC204B"/>
    <w:rsid w:val="00BC32B2"/>
    <w:rsid w:val="00BC36A4"/>
    <w:rsid w:val="00BC45DE"/>
    <w:rsid w:val="00BC4BB7"/>
    <w:rsid w:val="00BC6054"/>
    <w:rsid w:val="00BD067B"/>
    <w:rsid w:val="00BD13D0"/>
    <w:rsid w:val="00BD2047"/>
    <w:rsid w:val="00BD2EAD"/>
    <w:rsid w:val="00BD64D2"/>
    <w:rsid w:val="00BE12DC"/>
    <w:rsid w:val="00BE42FC"/>
    <w:rsid w:val="00BE560F"/>
    <w:rsid w:val="00BE7193"/>
    <w:rsid w:val="00BF0A5E"/>
    <w:rsid w:val="00BF2039"/>
    <w:rsid w:val="00BF203C"/>
    <w:rsid w:val="00BF20C0"/>
    <w:rsid w:val="00BF30A0"/>
    <w:rsid w:val="00BF67EE"/>
    <w:rsid w:val="00BF793C"/>
    <w:rsid w:val="00C00FD3"/>
    <w:rsid w:val="00C0118E"/>
    <w:rsid w:val="00C017FB"/>
    <w:rsid w:val="00C04373"/>
    <w:rsid w:val="00C06199"/>
    <w:rsid w:val="00C0664D"/>
    <w:rsid w:val="00C069AF"/>
    <w:rsid w:val="00C07451"/>
    <w:rsid w:val="00C10A50"/>
    <w:rsid w:val="00C1325E"/>
    <w:rsid w:val="00C1362C"/>
    <w:rsid w:val="00C1485C"/>
    <w:rsid w:val="00C17A07"/>
    <w:rsid w:val="00C17DA4"/>
    <w:rsid w:val="00C26B8A"/>
    <w:rsid w:val="00C3241A"/>
    <w:rsid w:val="00C33E24"/>
    <w:rsid w:val="00C368F0"/>
    <w:rsid w:val="00C4014A"/>
    <w:rsid w:val="00C41783"/>
    <w:rsid w:val="00C44CCA"/>
    <w:rsid w:val="00C45839"/>
    <w:rsid w:val="00C45E3C"/>
    <w:rsid w:val="00C464BB"/>
    <w:rsid w:val="00C47588"/>
    <w:rsid w:val="00C54261"/>
    <w:rsid w:val="00C5647C"/>
    <w:rsid w:val="00C61D89"/>
    <w:rsid w:val="00C64B95"/>
    <w:rsid w:val="00C70471"/>
    <w:rsid w:val="00C70C81"/>
    <w:rsid w:val="00C70DE9"/>
    <w:rsid w:val="00C72515"/>
    <w:rsid w:val="00C737B6"/>
    <w:rsid w:val="00C74D70"/>
    <w:rsid w:val="00C74ED5"/>
    <w:rsid w:val="00C75DE3"/>
    <w:rsid w:val="00C82B4B"/>
    <w:rsid w:val="00C8607C"/>
    <w:rsid w:val="00C90AFE"/>
    <w:rsid w:val="00C95907"/>
    <w:rsid w:val="00C95CE1"/>
    <w:rsid w:val="00CA3160"/>
    <w:rsid w:val="00CA42DA"/>
    <w:rsid w:val="00CA4371"/>
    <w:rsid w:val="00CA468B"/>
    <w:rsid w:val="00CB1F75"/>
    <w:rsid w:val="00CB4616"/>
    <w:rsid w:val="00CC06F0"/>
    <w:rsid w:val="00CC0E7A"/>
    <w:rsid w:val="00CC244B"/>
    <w:rsid w:val="00CC4012"/>
    <w:rsid w:val="00CC519F"/>
    <w:rsid w:val="00CC647F"/>
    <w:rsid w:val="00CD1D9F"/>
    <w:rsid w:val="00CD5A85"/>
    <w:rsid w:val="00CD5F6B"/>
    <w:rsid w:val="00CE34EA"/>
    <w:rsid w:val="00CE4129"/>
    <w:rsid w:val="00CE553A"/>
    <w:rsid w:val="00CE7524"/>
    <w:rsid w:val="00CE7AB9"/>
    <w:rsid w:val="00CF126E"/>
    <w:rsid w:val="00CF4DCA"/>
    <w:rsid w:val="00CF6CDA"/>
    <w:rsid w:val="00CF741D"/>
    <w:rsid w:val="00CF7628"/>
    <w:rsid w:val="00D02C80"/>
    <w:rsid w:val="00D02E4F"/>
    <w:rsid w:val="00D07867"/>
    <w:rsid w:val="00D07E60"/>
    <w:rsid w:val="00D1325E"/>
    <w:rsid w:val="00D16A83"/>
    <w:rsid w:val="00D16E2C"/>
    <w:rsid w:val="00D21019"/>
    <w:rsid w:val="00D22077"/>
    <w:rsid w:val="00D24CF6"/>
    <w:rsid w:val="00D2644D"/>
    <w:rsid w:val="00D26BE4"/>
    <w:rsid w:val="00D26CDC"/>
    <w:rsid w:val="00D26CF2"/>
    <w:rsid w:val="00D3116F"/>
    <w:rsid w:val="00D32DCA"/>
    <w:rsid w:val="00D3367A"/>
    <w:rsid w:val="00D343F5"/>
    <w:rsid w:val="00D34575"/>
    <w:rsid w:val="00D3463A"/>
    <w:rsid w:val="00D40F26"/>
    <w:rsid w:val="00D42596"/>
    <w:rsid w:val="00D436F1"/>
    <w:rsid w:val="00D45437"/>
    <w:rsid w:val="00D457CB"/>
    <w:rsid w:val="00D45C7A"/>
    <w:rsid w:val="00D46CA2"/>
    <w:rsid w:val="00D50AD2"/>
    <w:rsid w:val="00D53FD6"/>
    <w:rsid w:val="00D5605C"/>
    <w:rsid w:val="00D57A30"/>
    <w:rsid w:val="00D6027C"/>
    <w:rsid w:val="00D61CC6"/>
    <w:rsid w:val="00D63BDA"/>
    <w:rsid w:val="00D6493D"/>
    <w:rsid w:val="00D65433"/>
    <w:rsid w:val="00D66376"/>
    <w:rsid w:val="00D67E2D"/>
    <w:rsid w:val="00D71485"/>
    <w:rsid w:val="00D73B77"/>
    <w:rsid w:val="00D74149"/>
    <w:rsid w:val="00D745DC"/>
    <w:rsid w:val="00D746C4"/>
    <w:rsid w:val="00D74A9A"/>
    <w:rsid w:val="00D752DD"/>
    <w:rsid w:val="00D758D2"/>
    <w:rsid w:val="00D76899"/>
    <w:rsid w:val="00D76957"/>
    <w:rsid w:val="00D779BD"/>
    <w:rsid w:val="00D819D3"/>
    <w:rsid w:val="00D84BB9"/>
    <w:rsid w:val="00D852E0"/>
    <w:rsid w:val="00D85EA7"/>
    <w:rsid w:val="00D87088"/>
    <w:rsid w:val="00D87096"/>
    <w:rsid w:val="00D87433"/>
    <w:rsid w:val="00D90066"/>
    <w:rsid w:val="00D93B2D"/>
    <w:rsid w:val="00D942CA"/>
    <w:rsid w:val="00D95939"/>
    <w:rsid w:val="00DA42DC"/>
    <w:rsid w:val="00DA68D8"/>
    <w:rsid w:val="00DB0027"/>
    <w:rsid w:val="00DB5267"/>
    <w:rsid w:val="00DB5385"/>
    <w:rsid w:val="00DB5BEE"/>
    <w:rsid w:val="00DB7084"/>
    <w:rsid w:val="00DC280C"/>
    <w:rsid w:val="00DC4366"/>
    <w:rsid w:val="00DD0DD6"/>
    <w:rsid w:val="00DD17DD"/>
    <w:rsid w:val="00DD2F31"/>
    <w:rsid w:val="00DD70DD"/>
    <w:rsid w:val="00DE023E"/>
    <w:rsid w:val="00DE4B1F"/>
    <w:rsid w:val="00DE50BF"/>
    <w:rsid w:val="00DF372D"/>
    <w:rsid w:val="00DF6620"/>
    <w:rsid w:val="00DF6D12"/>
    <w:rsid w:val="00DF7A49"/>
    <w:rsid w:val="00E01572"/>
    <w:rsid w:val="00E02D86"/>
    <w:rsid w:val="00E06AA4"/>
    <w:rsid w:val="00E06FDF"/>
    <w:rsid w:val="00E07EE3"/>
    <w:rsid w:val="00E12067"/>
    <w:rsid w:val="00E12BAE"/>
    <w:rsid w:val="00E14DE6"/>
    <w:rsid w:val="00E150C3"/>
    <w:rsid w:val="00E16793"/>
    <w:rsid w:val="00E175DB"/>
    <w:rsid w:val="00E2285D"/>
    <w:rsid w:val="00E23E8C"/>
    <w:rsid w:val="00E25838"/>
    <w:rsid w:val="00E302CA"/>
    <w:rsid w:val="00E32975"/>
    <w:rsid w:val="00E356C1"/>
    <w:rsid w:val="00E35886"/>
    <w:rsid w:val="00E358C9"/>
    <w:rsid w:val="00E40854"/>
    <w:rsid w:val="00E44FC5"/>
    <w:rsid w:val="00E45687"/>
    <w:rsid w:val="00E4642E"/>
    <w:rsid w:val="00E50376"/>
    <w:rsid w:val="00E518B2"/>
    <w:rsid w:val="00E53F66"/>
    <w:rsid w:val="00E54AB1"/>
    <w:rsid w:val="00E56209"/>
    <w:rsid w:val="00E60636"/>
    <w:rsid w:val="00E61588"/>
    <w:rsid w:val="00E61617"/>
    <w:rsid w:val="00E6401E"/>
    <w:rsid w:val="00E65B03"/>
    <w:rsid w:val="00E660C9"/>
    <w:rsid w:val="00E67E1F"/>
    <w:rsid w:val="00E701C0"/>
    <w:rsid w:val="00E72D07"/>
    <w:rsid w:val="00E748BA"/>
    <w:rsid w:val="00E75C05"/>
    <w:rsid w:val="00E75D6C"/>
    <w:rsid w:val="00E7649F"/>
    <w:rsid w:val="00E81C7F"/>
    <w:rsid w:val="00E85711"/>
    <w:rsid w:val="00E85BDB"/>
    <w:rsid w:val="00E864BB"/>
    <w:rsid w:val="00E86AB1"/>
    <w:rsid w:val="00E87C56"/>
    <w:rsid w:val="00E9152B"/>
    <w:rsid w:val="00E915FC"/>
    <w:rsid w:val="00E91E88"/>
    <w:rsid w:val="00E937F7"/>
    <w:rsid w:val="00E94639"/>
    <w:rsid w:val="00E949EA"/>
    <w:rsid w:val="00E9521A"/>
    <w:rsid w:val="00E96132"/>
    <w:rsid w:val="00EA0780"/>
    <w:rsid w:val="00EA0CE3"/>
    <w:rsid w:val="00EA0F85"/>
    <w:rsid w:val="00EA4B0C"/>
    <w:rsid w:val="00EA5800"/>
    <w:rsid w:val="00EB02C3"/>
    <w:rsid w:val="00EB3E99"/>
    <w:rsid w:val="00EB4DB3"/>
    <w:rsid w:val="00EB72B5"/>
    <w:rsid w:val="00EB7680"/>
    <w:rsid w:val="00EC0F6E"/>
    <w:rsid w:val="00EC1137"/>
    <w:rsid w:val="00EC321A"/>
    <w:rsid w:val="00EC482B"/>
    <w:rsid w:val="00EC4D86"/>
    <w:rsid w:val="00EC5500"/>
    <w:rsid w:val="00EC7529"/>
    <w:rsid w:val="00ED1B0D"/>
    <w:rsid w:val="00ED3EF9"/>
    <w:rsid w:val="00ED4F88"/>
    <w:rsid w:val="00ED69B4"/>
    <w:rsid w:val="00EE1DFA"/>
    <w:rsid w:val="00EE3384"/>
    <w:rsid w:val="00EE4339"/>
    <w:rsid w:val="00EE5DE4"/>
    <w:rsid w:val="00EE7AFE"/>
    <w:rsid w:val="00EF3BC0"/>
    <w:rsid w:val="00EF3E3D"/>
    <w:rsid w:val="00EF426F"/>
    <w:rsid w:val="00EF7399"/>
    <w:rsid w:val="00F051D1"/>
    <w:rsid w:val="00F05685"/>
    <w:rsid w:val="00F075C8"/>
    <w:rsid w:val="00F078B8"/>
    <w:rsid w:val="00F11C43"/>
    <w:rsid w:val="00F14A62"/>
    <w:rsid w:val="00F202AE"/>
    <w:rsid w:val="00F2091F"/>
    <w:rsid w:val="00F2103E"/>
    <w:rsid w:val="00F217F6"/>
    <w:rsid w:val="00F2697C"/>
    <w:rsid w:val="00F304C2"/>
    <w:rsid w:val="00F31127"/>
    <w:rsid w:val="00F31EFD"/>
    <w:rsid w:val="00F4096E"/>
    <w:rsid w:val="00F409DD"/>
    <w:rsid w:val="00F41332"/>
    <w:rsid w:val="00F4241C"/>
    <w:rsid w:val="00F42C85"/>
    <w:rsid w:val="00F47617"/>
    <w:rsid w:val="00F50D09"/>
    <w:rsid w:val="00F50DA0"/>
    <w:rsid w:val="00F51869"/>
    <w:rsid w:val="00F54B6C"/>
    <w:rsid w:val="00F56027"/>
    <w:rsid w:val="00F5728F"/>
    <w:rsid w:val="00F57CB0"/>
    <w:rsid w:val="00F6054A"/>
    <w:rsid w:val="00F61A1C"/>
    <w:rsid w:val="00F622D3"/>
    <w:rsid w:val="00F65589"/>
    <w:rsid w:val="00F739E8"/>
    <w:rsid w:val="00F73C5E"/>
    <w:rsid w:val="00F80459"/>
    <w:rsid w:val="00F81ACF"/>
    <w:rsid w:val="00F83C7A"/>
    <w:rsid w:val="00F84074"/>
    <w:rsid w:val="00F86946"/>
    <w:rsid w:val="00F9076F"/>
    <w:rsid w:val="00F9371B"/>
    <w:rsid w:val="00F937E0"/>
    <w:rsid w:val="00F9390A"/>
    <w:rsid w:val="00FA2D04"/>
    <w:rsid w:val="00FA469A"/>
    <w:rsid w:val="00FA4D13"/>
    <w:rsid w:val="00FA52FE"/>
    <w:rsid w:val="00FB1B89"/>
    <w:rsid w:val="00FB2A38"/>
    <w:rsid w:val="00FB45C2"/>
    <w:rsid w:val="00FB4A02"/>
    <w:rsid w:val="00FB522F"/>
    <w:rsid w:val="00FB5260"/>
    <w:rsid w:val="00FB6E13"/>
    <w:rsid w:val="00FC0219"/>
    <w:rsid w:val="00FC2825"/>
    <w:rsid w:val="00FC5F4A"/>
    <w:rsid w:val="00FC6EC7"/>
    <w:rsid w:val="00FC7EF9"/>
    <w:rsid w:val="00FD1FEC"/>
    <w:rsid w:val="00FD58F8"/>
    <w:rsid w:val="00FD62B8"/>
    <w:rsid w:val="00FD6832"/>
    <w:rsid w:val="00FE0624"/>
    <w:rsid w:val="00FE18BA"/>
    <w:rsid w:val="00FE2C4B"/>
    <w:rsid w:val="00FE62F5"/>
    <w:rsid w:val="00FE6DA2"/>
    <w:rsid w:val="00FE7C7E"/>
    <w:rsid w:val="00FF0891"/>
    <w:rsid w:val="00FF552A"/>
    <w:rsid w:val="00FF5DD3"/>
    <w:rsid w:val="00FF6064"/>
    <w:rsid w:val="00FF6520"/>
    <w:rsid w:val="00FF6797"/>
    <w:rsid w:val="00FF7E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colormru v:ext="edit" colors="#581d74,#e9dddd,#e7d5e7,#a678ae,#c5b5b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2" w:semiHidden="1" w:uiPriority="1" w:unhideWhenUsed="1" w:qFormat="1"/>
    <w:lsdException w:name="heading 3" w:semiHidden="1"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caption" w:semiHidden="1" w:uiPriority="35" w:unhideWhenUsed="1" w:qFormat="1"/>
    <w:lsdException w:name="footnote reference" w:uiPriority="99"/>
    <w:lsdException w:name="List Bullet" w:uiPriority="1"/>
    <w:lsdException w:name="List Number" w:uiPriority="1"/>
    <w:lsdException w:name="List Number 2" w:uiPriority="1"/>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E7554"/>
    <w:pPr>
      <w:jc w:val="both"/>
    </w:pPr>
    <w:rPr>
      <w:rFonts w:ascii="Verdana" w:hAnsi="Verdana"/>
      <w:sz w:val="22"/>
      <w:szCs w:val="22"/>
    </w:rPr>
  </w:style>
  <w:style w:type="paragraph" w:styleId="Titre2">
    <w:name w:val="heading 2"/>
    <w:aliases w:val="Titre violet"/>
    <w:basedOn w:val="Normal"/>
    <w:next w:val="Normal"/>
    <w:link w:val="Titre2Car"/>
    <w:uiPriority w:val="1"/>
    <w:semiHidden/>
    <w:unhideWhenUsed/>
    <w:qFormat/>
    <w:rsid w:val="000A0838"/>
    <w:pPr>
      <w:keepNext/>
      <w:keepLines/>
      <w:spacing w:before="360" w:after="60"/>
      <w:jc w:val="left"/>
      <w:outlineLvl w:val="1"/>
    </w:pPr>
    <w:rPr>
      <w:rFonts w:eastAsia="Times New Roman" w:cs="Cordia New"/>
      <w:b/>
      <w:caps/>
      <w:noProof/>
      <w:color w:val="581D74"/>
      <w:kern w:val="20"/>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Titreducommuniqu">
    <w:name w:val="Titre du communiqué"/>
    <w:basedOn w:val="Normal"/>
    <w:rPr>
      <w:color w:val="000000"/>
      <w:sz w:val="36"/>
    </w:rPr>
  </w:style>
  <w:style w:type="paragraph" w:customStyle="1" w:styleId="Dateducommuniqu">
    <w:name w:val="Date du communiqué"/>
    <w:basedOn w:val="Normal"/>
    <w:pPr>
      <w:spacing w:line="300" w:lineRule="atLeast"/>
    </w:pPr>
    <w:rPr>
      <w:color w:val="501964"/>
      <w:sz w:val="28"/>
    </w:rPr>
  </w:style>
  <w:style w:type="paragraph" w:customStyle="1" w:styleId="Titreparagraphe">
    <w:name w:val="Titre paragraphe"/>
    <w:basedOn w:val="Normal"/>
    <w:link w:val="TitreparagrapheCar"/>
    <w:pPr>
      <w:spacing w:before="240"/>
    </w:pPr>
    <w:rPr>
      <w:b/>
      <w:color w:val="501964"/>
    </w:rPr>
  </w:style>
  <w:style w:type="character" w:styleId="Lienhypertexte">
    <w:name w:val="Hyperlink"/>
    <w:rsid w:val="0069247C"/>
    <w:rPr>
      <w:color w:val="581D74" w:themeColor="accent1"/>
      <w:u w:val="single"/>
    </w:rPr>
  </w:style>
  <w:style w:type="character" w:styleId="Numrodepage">
    <w:name w:val="page number"/>
    <w:basedOn w:val="Policepardfaut"/>
    <w:rsid w:val="008A3BA7"/>
  </w:style>
  <w:style w:type="paragraph" w:styleId="Textedebulles">
    <w:name w:val="Balloon Text"/>
    <w:basedOn w:val="Normal"/>
    <w:semiHidden/>
    <w:rsid w:val="00100D2B"/>
    <w:rPr>
      <w:rFonts w:ascii="Tahoma" w:hAnsi="Tahoma" w:cs="Tahoma"/>
      <w:sz w:val="16"/>
      <w:szCs w:val="16"/>
    </w:rPr>
  </w:style>
  <w:style w:type="table" w:styleId="Grilledutableau">
    <w:name w:val="Table Grid"/>
    <w:basedOn w:val="TableauNormal"/>
    <w:rsid w:val="000901A2"/>
    <w:pPr>
      <w:spacing w:line="3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69247C"/>
    <w:rPr>
      <w:color w:val="B0006C" w:themeColor="accent4"/>
      <w:u w:val="single"/>
    </w:rPr>
  </w:style>
  <w:style w:type="paragraph" w:customStyle="1" w:styleId="Titrecommuniqu">
    <w:name w:val="Titre communiqué"/>
    <w:basedOn w:val="Titreparagraphe"/>
    <w:link w:val="TitrecommuniquCar"/>
    <w:rsid w:val="00572D78"/>
    <w:pPr>
      <w:spacing w:before="0"/>
    </w:pPr>
    <w:rPr>
      <w:b w:val="0"/>
      <w:color w:val="auto"/>
      <w:sz w:val="28"/>
      <w:szCs w:val="28"/>
    </w:rPr>
  </w:style>
  <w:style w:type="paragraph" w:customStyle="1" w:styleId="Datecommuniqu">
    <w:name w:val="Date communiqué"/>
    <w:basedOn w:val="Titreparagraphe"/>
    <w:link w:val="DatecommuniquCar"/>
    <w:rsid w:val="00572D78"/>
    <w:pPr>
      <w:spacing w:before="480"/>
    </w:pPr>
    <w:rPr>
      <w:b w:val="0"/>
      <w:color w:val="581D74"/>
    </w:rPr>
  </w:style>
  <w:style w:type="character" w:customStyle="1" w:styleId="TitreparagrapheCar">
    <w:name w:val="Titre paragraphe Car"/>
    <w:link w:val="Titreparagraphe"/>
    <w:rsid w:val="00572D78"/>
    <w:rPr>
      <w:rFonts w:ascii="Verdana" w:hAnsi="Verdana"/>
      <w:b/>
      <w:color w:val="501964"/>
    </w:rPr>
  </w:style>
  <w:style w:type="character" w:customStyle="1" w:styleId="TitrecommuniquCar">
    <w:name w:val="Titre communiqué Car"/>
    <w:link w:val="Titrecommuniqu"/>
    <w:rsid w:val="00572D78"/>
    <w:rPr>
      <w:rFonts w:ascii="Verdana" w:hAnsi="Verdana"/>
      <w:b w:val="0"/>
      <w:color w:val="501964"/>
      <w:sz w:val="28"/>
      <w:szCs w:val="28"/>
    </w:rPr>
  </w:style>
  <w:style w:type="paragraph" w:customStyle="1" w:styleId="chapcommuniqu">
    <w:name w:val="chapô communiqué"/>
    <w:basedOn w:val="Titreparagraphe"/>
    <w:link w:val="chapcommuniquCar"/>
    <w:rsid w:val="00572D78"/>
    <w:rPr>
      <w:color w:val="auto"/>
      <w:sz w:val="18"/>
      <w:szCs w:val="18"/>
    </w:rPr>
  </w:style>
  <w:style w:type="character" w:customStyle="1" w:styleId="DatecommuniquCar">
    <w:name w:val="Date communiqué Car"/>
    <w:link w:val="Datecommuniqu"/>
    <w:rsid w:val="00572D78"/>
    <w:rPr>
      <w:rFonts w:ascii="Verdana" w:hAnsi="Verdana"/>
      <w:b w:val="0"/>
      <w:color w:val="581D74"/>
    </w:rPr>
  </w:style>
  <w:style w:type="paragraph" w:customStyle="1" w:styleId="textecourantcommuniqu">
    <w:name w:val="texte courant communiqué"/>
    <w:basedOn w:val="Normal"/>
    <w:link w:val="textecourantcommuniquCar"/>
    <w:rsid w:val="00572D78"/>
    <w:rPr>
      <w:sz w:val="18"/>
      <w:szCs w:val="18"/>
    </w:rPr>
  </w:style>
  <w:style w:type="character" w:customStyle="1" w:styleId="chapcommuniquCar">
    <w:name w:val="chapô communiqué Car"/>
    <w:link w:val="chapcommuniqu"/>
    <w:rsid w:val="00572D78"/>
    <w:rPr>
      <w:rFonts w:ascii="Verdana" w:hAnsi="Verdana"/>
      <w:b/>
      <w:color w:val="501964"/>
      <w:sz w:val="18"/>
      <w:szCs w:val="18"/>
    </w:rPr>
  </w:style>
  <w:style w:type="paragraph" w:customStyle="1" w:styleId="En-tteombr">
    <w:name w:val="En-tête ombré"/>
    <w:basedOn w:val="Normal"/>
    <w:uiPriority w:val="19"/>
    <w:rsid w:val="000A0838"/>
    <w:pPr>
      <w:pBdr>
        <w:top w:val="single" w:sz="2" w:space="2" w:color="581D74"/>
        <w:left w:val="single" w:sz="2" w:space="6" w:color="581D74"/>
        <w:bottom w:val="single" w:sz="2" w:space="2" w:color="581D74"/>
        <w:right w:val="single" w:sz="2" w:space="6" w:color="581D74"/>
      </w:pBdr>
      <w:shd w:val="clear" w:color="auto" w:fill="581D74"/>
      <w:spacing w:before="40"/>
      <w:ind w:left="-360" w:right="-360"/>
    </w:pPr>
    <w:rPr>
      <w:rFonts w:eastAsia="Times New Roman" w:cs="Cordia New"/>
      <w:caps/>
      <w:noProof/>
      <w:color w:val="FFFFFF"/>
      <w:kern w:val="20"/>
      <w:sz w:val="28"/>
      <w:szCs w:val="28"/>
    </w:rPr>
  </w:style>
  <w:style w:type="character" w:customStyle="1" w:styleId="textecourantcommuniquCar">
    <w:name w:val="texte courant communiqué Car"/>
    <w:link w:val="textecourantcommuniqu"/>
    <w:rsid w:val="00572D78"/>
    <w:rPr>
      <w:rFonts w:ascii="Verdana" w:hAnsi="Verdana"/>
      <w:sz w:val="18"/>
      <w:szCs w:val="18"/>
    </w:rPr>
  </w:style>
  <w:style w:type="paragraph" w:customStyle="1" w:styleId="Titre1">
    <w:name w:val="Titre1"/>
    <w:link w:val="Titre1Car"/>
    <w:rsid w:val="000A0838"/>
    <w:pPr>
      <w:spacing w:after="200" w:line="276" w:lineRule="auto"/>
    </w:pPr>
    <w:rPr>
      <w:rFonts w:ascii="Verdana" w:eastAsia="Times New Roman" w:hAnsi="Verdana"/>
      <w:bCs/>
      <w:color w:val="411556"/>
      <w:sz w:val="36"/>
      <w:szCs w:val="36"/>
    </w:rPr>
  </w:style>
  <w:style w:type="character" w:customStyle="1" w:styleId="Titre1Car">
    <w:name w:val="Titre1 Car"/>
    <w:link w:val="Titre1"/>
    <w:rsid w:val="000A0838"/>
    <w:rPr>
      <w:rFonts w:ascii="Verdana" w:eastAsia="Times New Roman" w:hAnsi="Verdana" w:cs="Times New Roman"/>
      <w:bCs/>
      <w:color w:val="411556"/>
      <w:sz w:val="36"/>
      <w:szCs w:val="36"/>
    </w:rPr>
  </w:style>
  <w:style w:type="paragraph" w:customStyle="1" w:styleId="Italique">
    <w:name w:val="Italique"/>
    <w:basedOn w:val="Normal"/>
    <w:link w:val="ItaliqueCar"/>
    <w:qFormat/>
    <w:rsid w:val="000A0838"/>
    <w:pPr>
      <w:ind w:left="360" w:hanging="360"/>
    </w:pPr>
    <w:rPr>
      <w:rFonts w:eastAsia="Cambria" w:cs="Angsana New"/>
      <w:i/>
      <w:noProof/>
      <w:kern w:val="20"/>
      <w:sz w:val="20"/>
      <w:szCs w:val="20"/>
    </w:rPr>
  </w:style>
  <w:style w:type="character" w:customStyle="1" w:styleId="ItaliqueCar">
    <w:name w:val="Italique Car"/>
    <w:link w:val="Italique"/>
    <w:rsid w:val="000A0838"/>
    <w:rPr>
      <w:rFonts w:ascii="Verdana" w:eastAsia="Cambria" w:hAnsi="Verdana" w:cs="Angsana New"/>
      <w:i/>
      <w:noProof/>
      <w:kern w:val="20"/>
    </w:rPr>
  </w:style>
  <w:style w:type="paragraph" w:customStyle="1" w:styleId="intro">
    <w:name w:val="intro"/>
    <w:basedOn w:val="2-TEXTECOURANTcommuniqu"/>
    <w:link w:val="introCar"/>
    <w:qFormat/>
    <w:rsid w:val="001659A3"/>
    <w:rPr>
      <w:i/>
      <w:color w:val="825D69" w:themeColor="text2"/>
      <w:sz w:val="18"/>
      <w:szCs w:val="18"/>
    </w:rPr>
  </w:style>
  <w:style w:type="paragraph" w:customStyle="1" w:styleId="4-Soustitre">
    <w:name w:val="4-Sous titre"/>
    <w:basedOn w:val="2-TEXTECOURANTcommuniqu"/>
    <w:link w:val="4-SoustitreCar"/>
    <w:qFormat/>
    <w:rsid w:val="008E2B05"/>
    <w:pPr>
      <w:pBdr>
        <w:bottom w:val="single" w:sz="4" w:space="1" w:color="581D74" w:themeColor="accent1"/>
      </w:pBdr>
      <w:spacing w:after="240"/>
    </w:pPr>
    <w:rPr>
      <w:b/>
      <w:color w:val="581D74" w:themeColor="accent1"/>
    </w:rPr>
  </w:style>
  <w:style w:type="paragraph" w:styleId="Notedefin">
    <w:name w:val="endnote text"/>
    <w:basedOn w:val="Normal"/>
    <w:link w:val="NotedefinCar"/>
    <w:rsid w:val="00572D78"/>
    <w:rPr>
      <w:sz w:val="20"/>
      <w:szCs w:val="20"/>
    </w:rPr>
  </w:style>
  <w:style w:type="character" w:customStyle="1" w:styleId="NotedefinCar">
    <w:name w:val="Note de fin Car"/>
    <w:link w:val="Notedefin"/>
    <w:rsid w:val="00572D78"/>
    <w:rPr>
      <w:rFonts w:ascii="Verdana" w:hAnsi="Verdana"/>
      <w:sz w:val="20"/>
      <w:szCs w:val="20"/>
    </w:rPr>
  </w:style>
  <w:style w:type="paragraph" w:customStyle="1" w:styleId="Boldviolet">
    <w:name w:val="Bold violet"/>
    <w:basedOn w:val="2-TEXTECOURANTcommuniqu"/>
    <w:link w:val="BoldvioletCar"/>
    <w:qFormat/>
    <w:rsid w:val="000A0838"/>
    <w:pPr>
      <w:jc w:val="left"/>
    </w:pPr>
    <w:rPr>
      <w:rFonts w:eastAsia="Times New Roman"/>
      <w:b/>
      <w:color w:val="581D74"/>
      <w:szCs w:val="24"/>
    </w:rPr>
  </w:style>
  <w:style w:type="character" w:customStyle="1" w:styleId="BoldvioletCar">
    <w:name w:val="Bold violet Car"/>
    <w:link w:val="Boldviolet"/>
    <w:rsid w:val="000A0838"/>
    <w:rPr>
      <w:rFonts w:ascii="Verdana" w:eastAsia="Times New Roman" w:hAnsi="Verdana"/>
      <w:b/>
      <w:color w:val="581D74"/>
      <w:spacing w:val="-4"/>
      <w:szCs w:val="24"/>
    </w:rPr>
  </w:style>
  <w:style w:type="paragraph" w:customStyle="1" w:styleId="Mentionslgales">
    <w:name w:val="Mentions légales"/>
    <w:basedOn w:val="Listepuces"/>
    <w:link w:val="MentionslgalesCar"/>
    <w:rsid w:val="000A0838"/>
    <w:pPr>
      <w:ind w:left="0" w:firstLine="0"/>
      <w:jc w:val="left"/>
    </w:pPr>
    <w:rPr>
      <w:sz w:val="14"/>
      <w:szCs w:val="14"/>
    </w:rPr>
  </w:style>
  <w:style w:type="character" w:customStyle="1" w:styleId="MentionslgalesCar">
    <w:name w:val="Mentions légales Car"/>
    <w:link w:val="Mentionslgales"/>
    <w:rsid w:val="000A0838"/>
    <w:rPr>
      <w:rFonts w:ascii="Verdana" w:eastAsia="Cambria" w:hAnsi="Verdana" w:cs="Angsana New"/>
      <w:noProof/>
      <w:kern w:val="20"/>
      <w:sz w:val="14"/>
      <w:szCs w:val="14"/>
    </w:rPr>
  </w:style>
  <w:style w:type="paragraph" w:styleId="Listepuces">
    <w:name w:val="List Bullet"/>
    <w:basedOn w:val="Normal"/>
    <w:link w:val="ListepucesCar"/>
    <w:uiPriority w:val="1"/>
    <w:unhideWhenUsed/>
    <w:rsid w:val="000A0838"/>
    <w:pPr>
      <w:spacing w:before="40" w:after="40" w:line="288" w:lineRule="auto"/>
      <w:ind w:left="360" w:hanging="360"/>
    </w:pPr>
    <w:rPr>
      <w:rFonts w:eastAsia="Cambria" w:cs="Angsana New"/>
      <w:noProof/>
      <w:kern w:val="20"/>
      <w:sz w:val="20"/>
      <w:szCs w:val="20"/>
    </w:rPr>
  </w:style>
  <w:style w:type="character" w:customStyle="1" w:styleId="Titre2Car">
    <w:name w:val="Titre 2 Car"/>
    <w:aliases w:val="Titre violet Car"/>
    <w:link w:val="Titre2"/>
    <w:uiPriority w:val="1"/>
    <w:semiHidden/>
    <w:rsid w:val="000A0838"/>
    <w:rPr>
      <w:rFonts w:ascii="Verdana" w:eastAsia="Times New Roman" w:hAnsi="Verdana" w:cs="Cordia New"/>
      <w:b/>
      <w:caps/>
      <w:noProof/>
      <w:color w:val="581D74"/>
      <w:kern w:val="20"/>
      <w:sz w:val="24"/>
    </w:rPr>
  </w:style>
  <w:style w:type="character" w:customStyle="1" w:styleId="ListepucesCar">
    <w:name w:val="Liste à puces Car"/>
    <w:link w:val="Listepuces"/>
    <w:uiPriority w:val="1"/>
    <w:rsid w:val="000A0838"/>
    <w:rPr>
      <w:rFonts w:ascii="Verdana" w:eastAsia="Cambria" w:hAnsi="Verdana" w:cs="Angsana New"/>
      <w:noProof/>
      <w:kern w:val="20"/>
    </w:rPr>
  </w:style>
  <w:style w:type="paragraph" w:styleId="Listenumros">
    <w:name w:val="List Number"/>
    <w:aliases w:val="Liste à numéros violet"/>
    <w:basedOn w:val="Normal"/>
    <w:link w:val="ListenumrosCar"/>
    <w:uiPriority w:val="1"/>
    <w:unhideWhenUsed/>
    <w:rsid w:val="000A0838"/>
    <w:pPr>
      <w:numPr>
        <w:numId w:val="9"/>
      </w:numPr>
      <w:spacing w:before="40" w:after="160" w:line="288" w:lineRule="auto"/>
      <w:contextualSpacing/>
    </w:pPr>
    <w:rPr>
      <w:rFonts w:eastAsia="Cambria" w:cs="Angsana New"/>
      <w:noProof/>
      <w:kern w:val="20"/>
      <w:sz w:val="20"/>
      <w:szCs w:val="20"/>
    </w:rPr>
  </w:style>
  <w:style w:type="character" w:customStyle="1" w:styleId="ListenumrosCar">
    <w:name w:val="Liste à numéros Car"/>
    <w:aliases w:val="Liste à numéros violet Car"/>
    <w:link w:val="Listenumros"/>
    <w:uiPriority w:val="1"/>
    <w:rsid w:val="000A0838"/>
    <w:rPr>
      <w:rFonts w:ascii="Verdana" w:eastAsia="Cambria" w:hAnsi="Verdana" w:cs="Angsana New"/>
      <w:noProof/>
      <w:kern w:val="20"/>
    </w:rPr>
  </w:style>
  <w:style w:type="paragraph" w:styleId="Listenumros2">
    <w:name w:val="List Number 2"/>
    <w:aliases w:val="Liste à numéros 1"/>
    <w:basedOn w:val="Normal"/>
    <w:uiPriority w:val="1"/>
    <w:unhideWhenUsed/>
    <w:rsid w:val="000A0838"/>
    <w:pPr>
      <w:numPr>
        <w:ilvl w:val="1"/>
        <w:numId w:val="9"/>
      </w:numPr>
      <w:spacing w:before="40" w:after="160" w:line="288" w:lineRule="auto"/>
      <w:contextualSpacing/>
      <w:jc w:val="left"/>
    </w:pPr>
    <w:rPr>
      <w:rFonts w:eastAsia="Cambria" w:cs="Angsana New"/>
      <w:noProof/>
      <w:color w:val="581D74"/>
      <w:kern w:val="20"/>
      <w:sz w:val="24"/>
      <w:szCs w:val="24"/>
    </w:rPr>
  </w:style>
  <w:style w:type="character" w:styleId="lev">
    <w:name w:val="Strong"/>
    <w:aliases w:val="Bold"/>
    <w:uiPriority w:val="22"/>
    <w:qFormat/>
    <w:rsid w:val="000A0838"/>
    <w:rPr>
      <w:b/>
      <w:bCs/>
    </w:rPr>
  </w:style>
  <w:style w:type="paragraph" w:customStyle="1" w:styleId="1-TITREcommuniqu">
    <w:name w:val="1-TITRE communiqué"/>
    <w:basedOn w:val="Titrecommuniqu"/>
    <w:link w:val="1-TITREcommuniquCar"/>
    <w:rsid w:val="000A0838"/>
    <w:rPr>
      <w:color w:val="501964"/>
      <w:sz w:val="32"/>
      <w:szCs w:val="32"/>
    </w:rPr>
  </w:style>
  <w:style w:type="paragraph" w:customStyle="1" w:styleId="1-DATEcommuniqu">
    <w:name w:val="1-DATE communiqué"/>
    <w:basedOn w:val="Datecommuniqu"/>
    <w:link w:val="1-DATEcommuniquCar"/>
    <w:qFormat/>
    <w:rsid w:val="00DC4366"/>
    <w:pPr>
      <w:spacing w:before="0"/>
    </w:pPr>
    <w:rPr>
      <w:sz w:val="20"/>
      <w:szCs w:val="20"/>
    </w:rPr>
  </w:style>
  <w:style w:type="character" w:customStyle="1" w:styleId="1-TITREcommuniquCar">
    <w:name w:val="1-TITRE communiqué Car"/>
    <w:link w:val="1-TITREcommuniqu"/>
    <w:rsid w:val="000A0838"/>
    <w:rPr>
      <w:rFonts w:ascii="Verdana" w:hAnsi="Verdana"/>
      <w:color w:val="501964"/>
      <w:sz w:val="32"/>
      <w:szCs w:val="32"/>
    </w:rPr>
  </w:style>
  <w:style w:type="paragraph" w:customStyle="1" w:styleId="3-CHAPcommuniqu">
    <w:name w:val="3-CHAPÔ communiqué"/>
    <w:basedOn w:val="chapcommuniqu"/>
    <w:link w:val="3-CHAPcommuniquCar"/>
    <w:rsid w:val="000A0838"/>
    <w:rPr>
      <w:color w:val="501964"/>
      <w:sz w:val="20"/>
      <w:szCs w:val="20"/>
    </w:rPr>
  </w:style>
  <w:style w:type="character" w:customStyle="1" w:styleId="1-DATEcommuniquCar">
    <w:name w:val="1-DATE communiqué Car"/>
    <w:link w:val="1-DATEcommuniqu"/>
    <w:rsid w:val="00DC4366"/>
    <w:rPr>
      <w:rFonts w:ascii="Verdana" w:hAnsi="Verdana"/>
      <w:color w:val="581D74"/>
    </w:rPr>
  </w:style>
  <w:style w:type="paragraph" w:customStyle="1" w:styleId="2-TEXTECOURANTcommuniqu">
    <w:name w:val="2-TEXTE COURANT communiqué"/>
    <w:basedOn w:val="textecourantcommuniqu"/>
    <w:link w:val="2-TEXTECOURANTcommuniquCar"/>
    <w:qFormat/>
    <w:rsid w:val="000A0838"/>
    <w:rPr>
      <w:spacing w:val="-4"/>
      <w:sz w:val="20"/>
      <w:szCs w:val="20"/>
    </w:rPr>
  </w:style>
  <w:style w:type="character" w:customStyle="1" w:styleId="3-CHAPcommuniquCar">
    <w:name w:val="3-CHAPÔ communiqué Car"/>
    <w:link w:val="3-CHAPcommuniqu"/>
    <w:rsid w:val="000A0838"/>
    <w:rPr>
      <w:rFonts w:ascii="Verdana" w:hAnsi="Verdana"/>
      <w:b/>
      <w:color w:val="501964"/>
    </w:rPr>
  </w:style>
  <w:style w:type="paragraph" w:customStyle="1" w:styleId="5-APROPOS">
    <w:name w:val="5-A PROPOS"/>
    <w:basedOn w:val="Normal"/>
    <w:link w:val="5-APROPOSCar"/>
    <w:rsid w:val="00EC7529"/>
    <w:pPr>
      <w:pBdr>
        <w:left w:val="single" w:sz="4" w:space="4" w:color="581D74"/>
      </w:pBdr>
      <w:ind w:left="142"/>
    </w:pPr>
    <w:rPr>
      <w:i/>
      <w:sz w:val="18"/>
      <w:szCs w:val="18"/>
      <w:lang w:val="pt-BR"/>
    </w:rPr>
  </w:style>
  <w:style w:type="character" w:customStyle="1" w:styleId="2-TEXTECOURANTcommuniquCar">
    <w:name w:val="2-TEXTE COURANT communiqué Car"/>
    <w:link w:val="2-TEXTECOURANTcommuniqu"/>
    <w:rsid w:val="000A0838"/>
    <w:rPr>
      <w:rFonts w:ascii="Verdana" w:hAnsi="Verdana"/>
      <w:spacing w:val="-4"/>
    </w:rPr>
  </w:style>
  <w:style w:type="character" w:customStyle="1" w:styleId="5-APROPOSCar">
    <w:name w:val="5-A PROPOS Car"/>
    <w:link w:val="5-APROPOS"/>
    <w:rsid w:val="00EC7529"/>
    <w:rPr>
      <w:rFonts w:ascii="Verdana" w:hAnsi="Verdana"/>
      <w:i/>
      <w:sz w:val="18"/>
      <w:szCs w:val="18"/>
      <w:lang w:val="pt-BR"/>
    </w:rPr>
  </w:style>
  <w:style w:type="paragraph" w:customStyle="1" w:styleId="5-TitreAPROPOS">
    <w:name w:val="5-Titre A PROPOS"/>
    <w:basedOn w:val="Titreparagraphe"/>
    <w:link w:val="5-TitreAPROPOSCar"/>
    <w:rsid w:val="00A905D1"/>
    <w:pPr>
      <w:pBdr>
        <w:left w:val="single" w:sz="4" w:space="4" w:color="581D74"/>
      </w:pBdr>
      <w:spacing w:before="0"/>
      <w:ind w:left="142"/>
    </w:pPr>
    <w:rPr>
      <w:color w:val="581D74"/>
      <w:sz w:val="18"/>
      <w:szCs w:val="18"/>
      <w:lang w:val="pt-BR"/>
    </w:rPr>
  </w:style>
  <w:style w:type="character" w:customStyle="1" w:styleId="5-TitreAPROPOSCar">
    <w:name w:val="5-Titre A PROPOS Car"/>
    <w:link w:val="5-TitreAPROPOS"/>
    <w:rsid w:val="00A905D1"/>
    <w:rPr>
      <w:rFonts w:ascii="Verdana" w:hAnsi="Verdana"/>
      <w:b/>
      <w:color w:val="581D74"/>
      <w:sz w:val="18"/>
      <w:szCs w:val="18"/>
      <w:lang w:val="pt-BR"/>
    </w:rPr>
  </w:style>
  <w:style w:type="paragraph" w:customStyle="1" w:styleId="7-APROPOS">
    <w:name w:val="7-A PROPOS"/>
    <w:basedOn w:val="Normal"/>
    <w:link w:val="7-APROPOSCar"/>
    <w:qFormat/>
    <w:rsid w:val="000A0838"/>
    <w:pPr>
      <w:pBdr>
        <w:left w:val="single" w:sz="4" w:space="4" w:color="581D74"/>
      </w:pBdr>
      <w:ind w:left="142"/>
    </w:pPr>
    <w:rPr>
      <w:i/>
      <w:sz w:val="18"/>
      <w:szCs w:val="18"/>
      <w:lang w:val="pt-BR"/>
    </w:rPr>
  </w:style>
  <w:style w:type="character" w:customStyle="1" w:styleId="7-APROPOSCar">
    <w:name w:val="7-A PROPOS Car"/>
    <w:link w:val="7-APROPOS"/>
    <w:rsid w:val="000A0838"/>
    <w:rPr>
      <w:rFonts w:ascii="Verdana" w:hAnsi="Verdana"/>
      <w:i/>
      <w:sz w:val="18"/>
      <w:szCs w:val="18"/>
      <w:lang w:val="pt-BR"/>
    </w:rPr>
  </w:style>
  <w:style w:type="paragraph" w:customStyle="1" w:styleId="7-TitreAPROPOS">
    <w:name w:val="7-Titre A PROPOS"/>
    <w:basedOn w:val="Titreparagraphe"/>
    <w:link w:val="7-TitreAPROPOSCar"/>
    <w:qFormat/>
    <w:rsid w:val="000A0838"/>
    <w:pPr>
      <w:pBdr>
        <w:left w:val="single" w:sz="4" w:space="4" w:color="581D74"/>
      </w:pBdr>
      <w:spacing w:before="0"/>
      <w:ind w:left="142"/>
    </w:pPr>
    <w:rPr>
      <w:color w:val="581D74"/>
      <w:sz w:val="18"/>
      <w:szCs w:val="18"/>
      <w:lang w:val="pt-BR"/>
    </w:rPr>
  </w:style>
  <w:style w:type="paragraph" w:customStyle="1" w:styleId="5-INTER">
    <w:name w:val="5-INTER"/>
    <w:basedOn w:val="Boldviolet"/>
    <w:link w:val="5-INTERCar"/>
    <w:rsid w:val="000A0838"/>
    <w:rPr>
      <w:spacing w:val="0"/>
    </w:rPr>
  </w:style>
  <w:style w:type="character" w:customStyle="1" w:styleId="7-TitreAPROPOSCar">
    <w:name w:val="7-Titre A PROPOS Car"/>
    <w:link w:val="7-TitreAPROPOS"/>
    <w:rsid w:val="000A0838"/>
    <w:rPr>
      <w:rFonts w:ascii="Verdana" w:hAnsi="Verdana"/>
      <w:b/>
      <w:color w:val="581D74"/>
      <w:sz w:val="18"/>
      <w:szCs w:val="18"/>
      <w:lang w:val="pt-BR"/>
    </w:rPr>
  </w:style>
  <w:style w:type="character" w:customStyle="1" w:styleId="5-INTERCar">
    <w:name w:val="5-INTER Car"/>
    <w:link w:val="5-INTER"/>
    <w:rsid w:val="000A0838"/>
    <w:rPr>
      <w:rFonts w:ascii="Verdana" w:eastAsia="Times New Roman" w:hAnsi="Verdana"/>
      <w:b/>
      <w:color w:val="581D74"/>
      <w:szCs w:val="24"/>
    </w:rPr>
  </w:style>
  <w:style w:type="paragraph" w:customStyle="1" w:styleId="6-LISTEPUCE">
    <w:name w:val="6- LISTE PUCE"/>
    <w:basedOn w:val="2-TEXTECOURANTcommuniqu"/>
    <w:link w:val="6-LISTEPUCECar"/>
    <w:qFormat/>
    <w:rsid w:val="000A0838"/>
    <w:pPr>
      <w:numPr>
        <w:numId w:val="7"/>
      </w:numPr>
    </w:pPr>
    <w:rPr>
      <w:spacing w:val="0"/>
    </w:rPr>
  </w:style>
  <w:style w:type="character" w:customStyle="1" w:styleId="6-LISTEPUCECar">
    <w:name w:val="6- LISTE PUCE Car"/>
    <w:link w:val="6-LISTEPUCE"/>
    <w:rsid w:val="000A0838"/>
    <w:rPr>
      <w:rFonts w:ascii="Verdana" w:hAnsi="Verdana"/>
    </w:rPr>
  </w:style>
  <w:style w:type="paragraph" w:customStyle="1" w:styleId="3-Titre1">
    <w:name w:val="3-Titre1"/>
    <w:basedOn w:val="2-TEXTECOURANTcommuniqu"/>
    <w:link w:val="3-Titre1Car"/>
    <w:qFormat/>
    <w:rsid w:val="000A0838"/>
    <w:pPr>
      <w:pBdr>
        <w:bottom w:val="single" w:sz="4" w:space="1" w:color="F47920"/>
      </w:pBdr>
      <w:tabs>
        <w:tab w:val="left" w:pos="426"/>
      </w:tabs>
      <w:spacing w:before="600" w:after="360"/>
    </w:pPr>
    <w:rPr>
      <w:b/>
      <w:color w:val="581D74"/>
      <w:sz w:val="22"/>
      <w:szCs w:val="22"/>
    </w:rPr>
  </w:style>
  <w:style w:type="character" w:customStyle="1" w:styleId="3-Titre1Car">
    <w:name w:val="3-Titre1 Car"/>
    <w:link w:val="3-Titre1"/>
    <w:rsid w:val="000A0838"/>
    <w:rPr>
      <w:rFonts w:ascii="Verdana" w:hAnsi="Verdana"/>
      <w:b/>
      <w:color w:val="581D74"/>
      <w:spacing w:val="-4"/>
      <w:sz w:val="22"/>
      <w:szCs w:val="22"/>
    </w:rPr>
  </w:style>
  <w:style w:type="character" w:customStyle="1" w:styleId="orange">
    <w:name w:val="orange"/>
    <w:uiPriority w:val="1"/>
    <w:qFormat/>
    <w:rsid w:val="000A0838"/>
    <w:rPr>
      <w:color w:val="F47920"/>
    </w:rPr>
  </w:style>
  <w:style w:type="paragraph" w:customStyle="1" w:styleId="3-Titre2">
    <w:name w:val="3-Titre2"/>
    <w:basedOn w:val="2-TEXTECOURANTcommuniqu"/>
    <w:link w:val="3-Titre2Car"/>
    <w:qFormat/>
    <w:rsid w:val="00696668"/>
    <w:pPr>
      <w:tabs>
        <w:tab w:val="left" w:pos="426"/>
      </w:tabs>
      <w:spacing w:before="480" w:after="240"/>
    </w:pPr>
    <w:rPr>
      <w:b/>
      <w:color w:val="581D74" w:themeColor="accent1"/>
    </w:rPr>
  </w:style>
  <w:style w:type="character" w:customStyle="1" w:styleId="3-Titre2Car">
    <w:name w:val="3-Titre2 Car"/>
    <w:basedOn w:val="2-TEXTECOURANTcommuniquCar"/>
    <w:link w:val="3-Titre2"/>
    <w:rsid w:val="00696668"/>
    <w:rPr>
      <w:rFonts w:ascii="Verdana" w:hAnsi="Verdana"/>
      <w:b/>
      <w:color w:val="581D74" w:themeColor="accent1"/>
      <w:spacing w:val="-4"/>
    </w:rPr>
  </w:style>
  <w:style w:type="paragraph" w:styleId="Notedebasdepage">
    <w:name w:val="footnote text"/>
    <w:basedOn w:val="Normal"/>
    <w:link w:val="NotedebasdepageCar"/>
    <w:uiPriority w:val="99"/>
    <w:rsid w:val="008E7554"/>
    <w:rPr>
      <w:sz w:val="14"/>
      <w:szCs w:val="20"/>
    </w:rPr>
  </w:style>
  <w:style w:type="character" w:customStyle="1" w:styleId="NotedebasdepageCar">
    <w:name w:val="Note de bas de page Car"/>
    <w:basedOn w:val="Policepardfaut"/>
    <w:link w:val="Notedebasdepage"/>
    <w:uiPriority w:val="99"/>
    <w:rsid w:val="008E7554"/>
    <w:rPr>
      <w:rFonts w:ascii="Verdana" w:hAnsi="Verdana"/>
      <w:sz w:val="14"/>
    </w:rPr>
  </w:style>
  <w:style w:type="character" w:styleId="Appelnotedebasdep">
    <w:name w:val="footnote reference"/>
    <w:basedOn w:val="Policepardfaut"/>
    <w:uiPriority w:val="99"/>
    <w:rsid w:val="00C17A07"/>
    <w:rPr>
      <w:vertAlign w:val="superscript"/>
    </w:rPr>
  </w:style>
  <w:style w:type="character" w:customStyle="1" w:styleId="Style">
    <w:name w:val="Style"/>
    <w:basedOn w:val="Appelnotedebasdep"/>
    <w:rsid w:val="008E7554"/>
    <w:rPr>
      <w:spacing w:val="-4"/>
      <w:sz w:val="14"/>
      <w:vertAlign w:val="superscript"/>
    </w:rPr>
  </w:style>
  <w:style w:type="character" w:customStyle="1" w:styleId="introCar">
    <w:name w:val="intro Car"/>
    <w:basedOn w:val="2-TEXTECOURANTcommuniquCar"/>
    <w:link w:val="intro"/>
    <w:rsid w:val="001659A3"/>
    <w:rPr>
      <w:rFonts w:ascii="Verdana" w:hAnsi="Verdana"/>
      <w:i/>
      <w:color w:val="825D69" w:themeColor="text2"/>
      <w:spacing w:val="-4"/>
      <w:sz w:val="18"/>
      <w:szCs w:val="18"/>
    </w:rPr>
  </w:style>
  <w:style w:type="paragraph" w:customStyle="1" w:styleId="3-Titre3">
    <w:name w:val="3-Titre3"/>
    <w:basedOn w:val="2-TEXTECOURANTcommuniqu"/>
    <w:link w:val="3-Titre3Car"/>
    <w:qFormat/>
    <w:rsid w:val="008E2B05"/>
    <w:pPr>
      <w:numPr>
        <w:numId w:val="12"/>
      </w:numPr>
    </w:pPr>
    <w:rPr>
      <w:b/>
    </w:rPr>
  </w:style>
  <w:style w:type="character" w:customStyle="1" w:styleId="4-SoustitreCar">
    <w:name w:val="4-Sous titre Car"/>
    <w:basedOn w:val="2-TEXTECOURANTcommuniquCar"/>
    <w:link w:val="4-Soustitre"/>
    <w:rsid w:val="008E2B05"/>
    <w:rPr>
      <w:rFonts w:ascii="Verdana" w:hAnsi="Verdana"/>
      <w:b/>
      <w:color w:val="581D74" w:themeColor="accent1"/>
      <w:spacing w:val="-4"/>
    </w:rPr>
  </w:style>
  <w:style w:type="character" w:customStyle="1" w:styleId="3-Titre3Car">
    <w:name w:val="3-Titre3 Car"/>
    <w:basedOn w:val="2-TEXTECOURANTcommuniquCar"/>
    <w:link w:val="3-Titre3"/>
    <w:rsid w:val="008E2B05"/>
    <w:rPr>
      <w:rFonts w:ascii="Verdana" w:hAnsi="Verdana"/>
      <w:b/>
      <w:spacing w:val="-4"/>
    </w:rPr>
  </w:style>
  <w:style w:type="paragraph" w:styleId="Paragraphedeliste">
    <w:name w:val="List Paragraph"/>
    <w:basedOn w:val="Normal"/>
    <w:uiPriority w:val="34"/>
    <w:rsid w:val="00A97BEA"/>
    <w:pPr>
      <w:ind w:left="720"/>
      <w:contextualSpacing/>
    </w:pPr>
  </w:style>
  <w:style w:type="paragraph" w:customStyle="1" w:styleId="Default">
    <w:name w:val="Default"/>
    <w:rsid w:val="00305441"/>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2" w:semiHidden="1" w:uiPriority="1" w:unhideWhenUsed="1" w:qFormat="1"/>
    <w:lsdException w:name="heading 3" w:semiHidden="1"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caption" w:semiHidden="1" w:uiPriority="35" w:unhideWhenUsed="1" w:qFormat="1"/>
    <w:lsdException w:name="footnote reference" w:uiPriority="99"/>
    <w:lsdException w:name="List Bullet" w:uiPriority="1"/>
    <w:lsdException w:name="List Number" w:uiPriority="1"/>
    <w:lsdException w:name="List Number 2" w:uiPriority="1"/>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E7554"/>
    <w:pPr>
      <w:jc w:val="both"/>
    </w:pPr>
    <w:rPr>
      <w:rFonts w:ascii="Verdana" w:hAnsi="Verdana"/>
      <w:sz w:val="22"/>
      <w:szCs w:val="22"/>
    </w:rPr>
  </w:style>
  <w:style w:type="paragraph" w:styleId="Titre2">
    <w:name w:val="heading 2"/>
    <w:aliases w:val="Titre violet"/>
    <w:basedOn w:val="Normal"/>
    <w:next w:val="Normal"/>
    <w:link w:val="Titre2Car"/>
    <w:uiPriority w:val="1"/>
    <w:semiHidden/>
    <w:unhideWhenUsed/>
    <w:qFormat/>
    <w:rsid w:val="000A0838"/>
    <w:pPr>
      <w:keepNext/>
      <w:keepLines/>
      <w:spacing w:before="360" w:after="60"/>
      <w:jc w:val="left"/>
      <w:outlineLvl w:val="1"/>
    </w:pPr>
    <w:rPr>
      <w:rFonts w:eastAsia="Times New Roman" w:cs="Cordia New"/>
      <w:b/>
      <w:caps/>
      <w:noProof/>
      <w:color w:val="581D74"/>
      <w:kern w:val="20"/>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Titreducommuniqu">
    <w:name w:val="Titre du communiqué"/>
    <w:basedOn w:val="Normal"/>
    <w:rPr>
      <w:color w:val="000000"/>
      <w:sz w:val="36"/>
    </w:rPr>
  </w:style>
  <w:style w:type="paragraph" w:customStyle="1" w:styleId="Dateducommuniqu">
    <w:name w:val="Date du communiqué"/>
    <w:basedOn w:val="Normal"/>
    <w:pPr>
      <w:spacing w:line="300" w:lineRule="atLeast"/>
    </w:pPr>
    <w:rPr>
      <w:color w:val="501964"/>
      <w:sz w:val="28"/>
    </w:rPr>
  </w:style>
  <w:style w:type="paragraph" w:customStyle="1" w:styleId="Titreparagraphe">
    <w:name w:val="Titre paragraphe"/>
    <w:basedOn w:val="Normal"/>
    <w:link w:val="TitreparagrapheCar"/>
    <w:pPr>
      <w:spacing w:before="240"/>
    </w:pPr>
    <w:rPr>
      <w:b/>
      <w:color w:val="501964"/>
    </w:rPr>
  </w:style>
  <w:style w:type="character" w:styleId="Lienhypertexte">
    <w:name w:val="Hyperlink"/>
    <w:rsid w:val="0069247C"/>
    <w:rPr>
      <w:color w:val="581D74" w:themeColor="accent1"/>
      <w:u w:val="single"/>
    </w:rPr>
  </w:style>
  <w:style w:type="character" w:styleId="Numrodepage">
    <w:name w:val="page number"/>
    <w:basedOn w:val="Policepardfaut"/>
    <w:rsid w:val="008A3BA7"/>
  </w:style>
  <w:style w:type="paragraph" w:styleId="Textedebulles">
    <w:name w:val="Balloon Text"/>
    <w:basedOn w:val="Normal"/>
    <w:semiHidden/>
    <w:rsid w:val="00100D2B"/>
    <w:rPr>
      <w:rFonts w:ascii="Tahoma" w:hAnsi="Tahoma" w:cs="Tahoma"/>
      <w:sz w:val="16"/>
      <w:szCs w:val="16"/>
    </w:rPr>
  </w:style>
  <w:style w:type="table" w:styleId="Grilledutableau">
    <w:name w:val="Table Grid"/>
    <w:basedOn w:val="TableauNormal"/>
    <w:rsid w:val="000901A2"/>
    <w:pPr>
      <w:spacing w:line="3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69247C"/>
    <w:rPr>
      <w:color w:val="B0006C" w:themeColor="accent4"/>
      <w:u w:val="single"/>
    </w:rPr>
  </w:style>
  <w:style w:type="paragraph" w:customStyle="1" w:styleId="Titrecommuniqu">
    <w:name w:val="Titre communiqué"/>
    <w:basedOn w:val="Titreparagraphe"/>
    <w:link w:val="TitrecommuniquCar"/>
    <w:rsid w:val="00572D78"/>
    <w:pPr>
      <w:spacing w:before="0"/>
    </w:pPr>
    <w:rPr>
      <w:b w:val="0"/>
      <w:color w:val="auto"/>
      <w:sz w:val="28"/>
      <w:szCs w:val="28"/>
    </w:rPr>
  </w:style>
  <w:style w:type="paragraph" w:customStyle="1" w:styleId="Datecommuniqu">
    <w:name w:val="Date communiqué"/>
    <w:basedOn w:val="Titreparagraphe"/>
    <w:link w:val="DatecommuniquCar"/>
    <w:rsid w:val="00572D78"/>
    <w:pPr>
      <w:spacing w:before="480"/>
    </w:pPr>
    <w:rPr>
      <w:b w:val="0"/>
      <w:color w:val="581D74"/>
    </w:rPr>
  </w:style>
  <w:style w:type="character" w:customStyle="1" w:styleId="TitreparagrapheCar">
    <w:name w:val="Titre paragraphe Car"/>
    <w:link w:val="Titreparagraphe"/>
    <w:rsid w:val="00572D78"/>
    <w:rPr>
      <w:rFonts w:ascii="Verdana" w:hAnsi="Verdana"/>
      <w:b/>
      <w:color w:val="501964"/>
    </w:rPr>
  </w:style>
  <w:style w:type="character" w:customStyle="1" w:styleId="TitrecommuniquCar">
    <w:name w:val="Titre communiqué Car"/>
    <w:link w:val="Titrecommuniqu"/>
    <w:rsid w:val="00572D78"/>
    <w:rPr>
      <w:rFonts w:ascii="Verdana" w:hAnsi="Verdana"/>
      <w:b w:val="0"/>
      <w:color w:val="501964"/>
      <w:sz w:val="28"/>
      <w:szCs w:val="28"/>
    </w:rPr>
  </w:style>
  <w:style w:type="paragraph" w:customStyle="1" w:styleId="chapcommuniqu">
    <w:name w:val="chapô communiqué"/>
    <w:basedOn w:val="Titreparagraphe"/>
    <w:link w:val="chapcommuniquCar"/>
    <w:rsid w:val="00572D78"/>
    <w:rPr>
      <w:color w:val="auto"/>
      <w:sz w:val="18"/>
      <w:szCs w:val="18"/>
    </w:rPr>
  </w:style>
  <w:style w:type="character" w:customStyle="1" w:styleId="DatecommuniquCar">
    <w:name w:val="Date communiqué Car"/>
    <w:link w:val="Datecommuniqu"/>
    <w:rsid w:val="00572D78"/>
    <w:rPr>
      <w:rFonts w:ascii="Verdana" w:hAnsi="Verdana"/>
      <w:b w:val="0"/>
      <w:color w:val="581D74"/>
    </w:rPr>
  </w:style>
  <w:style w:type="paragraph" w:customStyle="1" w:styleId="textecourantcommuniqu">
    <w:name w:val="texte courant communiqué"/>
    <w:basedOn w:val="Normal"/>
    <w:link w:val="textecourantcommuniquCar"/>
    <w:rsid w:val="00572D78"/>
    <w:rPr>
      <w:sz w:val="18"/>
      <w:szCs w:val="18"/>
    </w:rPr>
  </w:style>
  <w:style w:type="character" w:customStyle="1" w:styleId="chapcommuniquCar">
    <w:name w:val="chapô communiqué Car"/>
    <w:link w:val="chapcommuniqu"/>
    <w:rsid w:val="00572D78"/>
    <w:rPr>
      <w:rFonts w:ascii="Verdana" w:hAnsi="Verdana"/>
      <w:b/>
      <w:color w:val="501964"/>
      <w:sz w:val="18"/>
      <w:szCs w:val="18"/>
    </w:rPr>
  </w:style>
  <w:style w:type="paragraph" w:customStyle="1" w:styleId="En-tteombr">
    <w:name w:val="En-tête ombré"/>
    <w:basedOn w:val="Normal"/>
    <w:uiPriority w:val="19"/>
    <w:rsid w:val="000A0838"/>
    <w:pPr>
      <w:pBdr>
        <w:top w:val="single" w:sz="2" w:space="2" w:color="581D74"/>
        <w:left w:val="single" w:sz="2" w:space="6" w:color="581D74"/>
        <w:bottom w:val="single" w:sz="2" w:space="2" w:color="581D74"/>
        <w:right w:val="single" w:sz="2" w:space="6" w:color="581D74"/>
      </w:pBdr>
      <w:shd w:val="clear" w:color="auto" w:fill="581D74"/>
      <w:spacing w:before="40"/>
      <w:ind w:left="-360" w:right="-360"/>
    </w:pPr>
    <w:rPr>
      <w:rFonts w:eastAsia="Times New Roman" w:cs="Cordia New"/>
      <w:caps/>
      <w:noProof/>
      <w:color w:val="FFFFFF"/>
      <w:kern w:val="20"/>
      <w:sz w:val="28"/>
      <w:szCs w:val="28"/>
    </w:rPr>
  </w:style>
  <w:style w:type="character" w:customStyle="1" w:styleId="textecourantcommuniquCar">
    <w:name w:val="texte courant communiqué Car"/>
    <w:link w:val="textecourantcommuniqu"/>
    <w:rsid w:val="00572D78"/>
    <w:rPr>
      <w:rFonts w:ascii="Verdana" w:hAnsi="Verdana"/>
      <w:sz w:val="18"/>
      <w:szCs w:val="18"/>
    </w:rPr>
  </w:style>
  <w:style w:type="paragraph" w:customStyle="1" w:styleId="Titre1">
    <w:name w:val="Titre1"/>
    <w:link w:val="Titre1Car"/>
    <w:rsid w:val="000A0838"/>
    <w:pPr>
      <w:spacing w:after="200" w:line="276" w:lineRule="auto"/>
    </w:pPr>
    <w:rPr>
      <w:rFonts w:ascii="Verdana" w:eastAsia="Times New Roman" w:hAnsi="Verdana"/>
      <w:bCs/>
      <w:color w:val="411556"/>
      <w:sz w:val="36"/>
      <w:szCs w:val="36"/>
    </w:rPr>
  </w:style>
  <w:style w:type="character" w:customStyle="1" w:styleId="Titre1Car">
    <w:name w:val="Titre1 Car"/>
    <w:link w:val="Titre1"/>
    <w:rsid w:val="000A0838"/>
    <w:rPr>
      <w:rFonts w:ascii="Verdana" w:eastAsia="Times New Roman" w:hAnsi="Verdana" w:cs="Times New Roman"/>
      <w:bCs/>
      <w:color w:val="411556"/>
      <w:sz w:val="36"/>
      <w:szCs w:val="36"/>
    </w:rPr>
  </w:style>
  <w:style w:type="paragraph" w:customStyle="1" w:styleId="Italique">
    <w:name w:val="Italique"/>
    <w:basedOn w:val="Normal"/>
    <w:link w:val="ItaliqueCar"/>
    <w:qFormat/>
    <w:rsid w:val="000A0838"/>
    <w:pPr>
      <w:ind w:left="360" w:hanging="360"/>
    </w:pPr>
    <w:rPr>
      <w:rFonts w:eastAsia="Cambria" w:cs="Angsana New"/>
      <w:i/>
      <w:noProof/>
      <w:kern w:val="20"/>
      <w:sz w:val="20"/>
      <w:szCs w:val="20"/>
    </w:rPr>
  </w:style>
  <w:style w:type="character" w:customStyle="1" w:styleId="ItaliqueCar">
    <w:name w:val="Italique Car"/>
    <w:link w:val="Italique"/>
    <w:rsid w:val="000A0838"/>
    <w:rPr>
      <w:rFonts w:ascii="Verdana" w:eastAsia="Cambria" w:hAnsi="Verdana" w:cs="Angsana New"/>
      <w:i/>
      <w:noProof/>
      <w:kern w:val="20"/>
    </w:rPr>
  </w:style>
  <w:style w:type="paragraph" w:customStyle="1" w:styleId="intro">
    <w:name w:val="intro"/>
    <w:basedOn w:val="2-TEXTECOURANTcommuniqu"/>
    <w:link w:val="introCar"/>
    <w:qFormat/>
    <w:rsid w:val="001659A3"/>
    <w:rPr>
      <w:i/>
      <w:color w:val="825D69" w:themeColor="text2"/>
      <w:sz w:val="18"/>
      <w:szCs w:val="18"/>
    </w:rPr>
  </w:style>
  <w:style w:type="paragraph" w:customStyle="1" w:styleId="4-Soustitre">
    <w:name w:val="4-Sous titre"/>
    <w:basedOn w:val="2-TEXTECOURANTcommuniqu"/>
    <w:link w:val="4-SoustitreCar"/>
    <w:qFormat/>
    <w:rsid w:val="008E2B05"/>
    <w:pPr>
      <w:pBdr>
        <w:bottom w:val="single" w:sz="4" w:space="1" w:color="581D74" w:themeColor="accent1"/>
      </w:pBdr>
      <w:spacing w:after="240"/>
    </w:pPr>
    <w:rPr>
      <w:b/>
      <w:color w:val="581D74" w:themeColor="accent1"/>
    </w:rPr>
  </w:style>
  <w:style w:type="paragraph" w:styleId="Notedefin">
    <w:name w:val="endnote text"/>
    <w:basedOn w:val="Normal"/>
    <w:link w:val="NotedefinCar"/>
    <w:rsid w:val="00572D78"/>
    <w:rPr>
      <w:sz w:val="20"/>
      <w:szCs w:val="20"/>
    </w:rPr>
  </w:style>
  <w:style w:type="character" w:customStyle="1" w:styleId="NotedefinCar">
    <w:name w:val="Note de fin Car"/>
    <w:link w:val="Notedefin"/>
    <w:rsid w:val="00572D78"/>
    <w:rPr>
      <w:rFonts w:ascii="Verdana" w:hAnsi="Verdana"/>
      <w:sz w:val="20"/>
      <w:szCs w:val="20"/>
    </w:rPr>
  </w:style>
  <w:style w:type="paragraph" w:customStyle="1" w:styleId="Boldviolet">
    <w:name w:val="Bold violet"/>
    <w:basedOn w:val="2-TEXTECOURANTcommuniqu"/>
    <w:link w:val="BoldvioletCar"/>
    <w:qFormat/>
    <w:rsid w:val="000A0838"/>
    <w:pPr>
      <w:jc w:val="left"/>
    </w:pPr>
    <w:rPr>
      <w:rFonts w:eastAsia="Times New Roman"/>
      <w:b/>
      <w:color w:val="581D74"/>
      <w:szCs w:val="24"/>
    </w:rPr>
  </w:style>
  <w:style w:type="character" w:customStyle="1" w:styleId="BoldvioletCar">
    <w:name w:val="Bold violet Car"/>
    <w:link w:val="Boldviolet"/>
    <w:rsid w:val="000A0838"/>
    <w:rPr>
      <w:rFonts w:ascii="Verdana" w:eastAsia="Times New Roman" w:hAnsi="Verdana"/>
      <w:b/>
      <w:color w:val="581D74"/>
      <w:spacing w:val="-4"/>
      <w:szCs w:val="24"/>
    </w:rPr>
  </w:style>
  <w:style w:type="paragraph" w:customStyle="1" w:styleId="Mentionslgales">
    <w:name w:val="Mentions légales"/>
    <w:basedOn w:val="Listepuces"/>
    <w:link w:val="MentionslgalesCar"/>
    <w:rsid w:val="000A0838"/>
    <w:pPr>
      <w:ind w:left="0" w:firstLine="0"/>
      <w:jc w:val="left"/>
    </w:pPr>
    <w:rPr>
      <w:sz w:val="14"/>
      <w:szCs w:val="14"/>
    </w:rPr>
  </w:style>
  <w:style w:type="character" w:customStyle="1" w:styleId="MentionslgalesCar">
    <w:name w:val="Mentions légales Car"/>
    <w:link w:val="Mentionslgales"/>
    <w:rsid w:val="000A0838"/>
    <w:rPr>
      <w:rFonts w:ascii="Verdana" w:eastAsia="Cambria" w:hAnsi="Verdana" w:cs="Angsana New"/>
      <w:noProof/>
      <w:kern w:val="20"/>
      <w:sz w:val="14"/>
      <w:szCs w:val="14"/>
    </w:rPr>
  </w:style>
  <w:style w:type="paragraph" w:styleId="Listepuces">
    <w:name w:val="List Bullet"/>
    <w:basedOn w:val="Normal"/>
    <w:link w:val="ListepucesCar"/>
    <w:uiPriority w:val="1"/>
    <w:unhideWhenUsed/>
    <w:rsid w:val="000A0838"/>
    <w:pPr>
      <w:spacing w:before="40" w:after="40" w:line="288" w:lineRule="auto"/>
      <w:ind w:left="360" w:hanging="360"/>
    </w:pPr>
    <w:rPr>
      <w:rFonts w:eastAsia="Cambria" w:cs="Angsana New"/>
      <w:noProof/>
      <w:kern w:val="20"/>
      <w:sz w:val="20"/>
      <w:szCs w:val="20"/>
    </w:rPr>
  </w:style>
  <w:style w:type="character" w:customStyle="1" w:styleId="Titre2Car">
    <w:name w:val="Titre 2 Car"/>
    <w:aliases w:val="Titre violet Car"/>
    <w:link w:val="Titre2"/>
    <w:uiPriority w:val="1"/>
    <w:semiHidden/>
    <w:rsid w:val="000A0838"/>
    <w:rPr>
      <w:rFonts w:ascii="Verdana" w:eastAsia="Times New Roman" w:hAnsi="Verdana" w:cs="Cordia New"/>
      <w:b/>
      <w:caps/>
      <w:noProof/>
      <w:color w:val="581D74"/>
      <w:kern w:val="20"/>
      <w:sz w:val="24"/>
    </w:rPr>
  </w:style>
  <w:style w:type="character" w:customStyle="1" w:styleId="ListepucesCar">
    <w:name w:val="Liste à puces Car"/>
    <w:link w:val="Listepuces"/>
    <w:uiPriority w:val="1"/>
    <w:rsid w:val="000A0838"/>
    <w:rPr>
      <w:rFonts w:ascii="Verdana" w:eastAsia="Cambria" w:hAnsi="Verdana" w:cs="Angsana New"/>
      <w:noProof/>
      <w:kern w:val="20"/>
    </w:rPr>
  </w:style>
  <w:style w:type="paragraph" w:styleId="Listenumros">
    <w:name w:val="List Number"/>
    <w:aliases w:val="Liste à numéros violet"/>
    <w:basedOn w:val="Normal"/>
    <w:link w:val="ListenumrosCar"/>
    <w:uiPriority w:val="1"/>
    <w:unhideWhenUsed/>
    <w:rsid w:val="000A0838"/>
    <w:pPr>
      <w:numPr>
        <w:numId w:val="9"/>
      </w:numPr>
      <w:spacing w:before="40" w:after="160" w:line="288" w:lineRule="auto"/>
      <w:contextualSpacing/>
    </w:pPr>
    <w:rPr>
      <w:rFonts w:eastAsia="Cambria" w:cs="Angsana New"/>
      <w:noProof/>
      <w:kern w:val="20"/>
      <w:sz w:val="20"/>
      <w:szCs w:val="20"/>
    </w:rPr>
  </w:style>
  <w:style w:type="character" w:customStyle="1" w:styleId="ListenumrosCar">
    <w:name w:val="Liste à numéros Car"/>
    <w:aliases w:val="Liste à numéros violet Car"/>
    <w:link w:val="Listenumros"/>
    <w:uiPriority w:val="1"/>
    <w:rsid w:val="000A0838"/>
    <w:rPr>
      <w:rFonts w:ascii="Verdana" w:eastAsia="Cambria" w:hAnsi="Verdana" w:cs="Angsana New"/>
      <w:noProof/>
      <w:kern w:val="20"/>
    </w:rPr>
  </w:style>
  <w:style w:type="paragraph" w:styleId="Listenumros2">
    <w:name w:val="List Number 2"/>
    <w:aliases w:val="Liste à numéros 1"/>
    <w:basedOn w:val="Normal"/>
    <w:uiPriority w:val="1"/>
    <w:unhideWhenUsed/>
    <w:rsid w:val="000A0838"/>
    <w:pPr>
      <w:numPr>
        <w:ilvl w:val="1"/>
        <w:numId w:val="9"/>
      </w:numPr>
      <w:spacing w:before="40" w:after="160" w:line="288" w:lineRule="auto"/>
      <w:contextualSpacing/>
      <w:jc w:val="left"/>
    </w:pPr>
    <w:rPr>
      <w:rFonts w:eastAsia="Cambria" w:cs="Angsana New"/>
      <w:noProof/>
      <w:color w:val="581D74"/>
      <w:kern w:val="20"/>
      <w:sz w:val="24"/>
      <w:szCs w:val="24"/>
    </w:rPr>
  </w:style>
  <w:style w:type="character" w:styleId="lev">
    <w:name w:val="Strong"/>
    <w:aliases w:val="Bold"/>
    <w:uiPriority w:val="22"/>
    <w:qFormat/>
    <w:rsid w:val="000A0838"/>
    <w:rPr>
      <w:b/>
      <w:bCs/>
    </w:rPr>
  </w:style>
  <w:style w:type="paragraph" w:customStyle="1" w:styleId="1-TITREcommuniqu">
    <w:name w:val="1-TITRE communiqué"/>
    <w:basedOn w:val="Titrecommuniqu"/>
    <w:link w:val="1-TITREcommuniquCar"/>
    <w:rsid w:val="000A0838"/>
    <w:rPr>
      <w:color w:val="501964"/>
      <w:sz w:val="32"/>
      <w:szCs w:val="32"/>
    </w:rPr>
  </w:style>
  <w:style w:type="paragraph" w:customStyle="1" w:styleId="1-DATEcommuniqu">
    <w:name w:val="1-DATE communiqué"/>
    <w:basedOn w:val="Datecommuniqu"/>
    <w:link w:val="1-DATEcommuniquCar"/>
    <w:qFormat/>
    <w:rsid w:val="00DC4366"/>
    <w:pPr>
      <w:spacing w:before="0"/>
    </w:pPr>
    <w:rPr>
      <w:sz w:val="20"/>
      <w:szCs w:val="20"/>
    </w:rPr>
  </w:style>
  <w:style w:type="character" w:customStyle="1" w:styleId="1-TITREcommuniquCar">
    <w:name w:val="1-TITRE communiqué Car"/>
    <w:link w:val="1-TITREcommuniqu"/>
    <w:rsid w:val="000A0838"/>
    <w:rPr>
      <w:rFonts w:ascii="Verdana" w:hAnsi="Verdana"/>
      <w:color w:val="501964"/>
      <w:sz w:val="32"/>
      <w:szCs w:val="32"/>
    </w:rPr>
  </w:style>
  <w:style w:type="paragraph" w:customStyle="1" w:styleId="3-CHAPcommuniqu">
    <w:name w:val="3-CHAPÔ communiqué"/>
    <w:basedOn w:val="chapcommuniqu"/>
    <w:link w:val="3-CHAPcommuniquCar"/>
    <w:rsid w:val="000A0838"/>
    <w:rPr>
      <w:color w:val="501964"/>
      <w:sz w:val="20"/>
      <w:szCs w:val="20"/>
    </w:rPr>
  </w:style>
  <w:style w:type="character" w:customStyle="1" w:styleId="1-DATEcommuniquCar">
    <w:name w:val="1-DATE communiqué Car"/>
    <w:link w:val="1-DATEcommuniqu"/>
    <w:rsid w:val="00DC4366"/>
    <w:rPr>
      <w:rFonts w:ascii="Verdana" w:hAnsi="Verdana"/>
      <w:color w:val="581D74"/>
    </w:rPr>
  </w:style>
  <w:style w:type="paragraph" w:customStyle="1" w:styleId="2-TEXTECOURANTcommuniqu">
    <w:name w:val="2-TEXTE COURANT communiqué"/>
    <w:basedOn w:val="textecourantcommuniqu"/>
    <w:link w:val="2-TEXTECOURANTcommuniquCar"/>
    <w:qFormat/>
    <w:rsid w:val="000A0838"/>
    <w:rPr>
      <w:spacing w:val="-4"/>
      <w:sz w:val="20"/>
      <w:szCs w:val="20"/>
    </w:rPr>
  </w:style>
  <w:style w:type="character" w:customStyle="1" w:styleId="3-CHAPcommuniquCar">
    <w:name w:val="3-CHAPÔ communiqué Car"/>
    <w:link w:val="3-CHAPcommuniqu"/>
    <w:rsid w:val="000A0838"/>
    <w:rPr>
      <w:rFonts w:ascii="Verdana" w:hAnsi="Verdana"/>
      <w:b/>
      <w:color w:val="501964"/>
    </w:rPr>
  </w:style>
  <w:style w:type="paragraph" w:customStyle="1" w:styleId="5-APROPOS">
    <w:name w:val="5-A PROPOS"/>
    <w:basedOn w:val="Normal"/>
    <w:link w:val="5-APROPOSCar"/>
    <w:rsid w:val="00EC7529"/>
    <w:pPr>
      <w:pBdr>
        <w:left w:val="single" w:sz="4" w:space="4" w:color="581D74"/>
      </w:pBdr>
      <w:ind w:left="142"/>
    </w:pPr>
    <w:rPr>
      <w:i/>
      <w:sz w:val="18"/>
      <w:szCs w:val="18"/>
      <w:lang w:val="pt-BR"/>
    </w:rPr>
  </w:style>
  <w:style w:type="character" w:customStyle="1" w:styleId="2-TEXTECOURANTcommuniquCar">
    <w:name w:val="2-TEXTE COURANT communiqué Car"/>
    <w:link w:val="2-TEXTECOURANTcommuniqu"/>
    <w:rsid w:val="000A0838"/>
    <w:rPr>
      <w:rFonts w:ascii="Verdana" w:hAnsi="Verdana"/>
      <w:spacing w:val="-4"/>
    </w:rPr>
  </w:style>
  <w:style w:type="character" w:customStyle="1" w:styleId="5-APROPOSCar">
    <w:name w:val="5-A PROPOS Car"/>
    <w:link w:val="5-APROPOS"/>
    <w:rsid w:val="00EC7529"/>
    <w:rPr>
      <w:rFonts w:ascii="Verdana" w:hAnsi="Verdana"/>
      <w:i/>
      <w:sz w:val="18"/>
      <w:szCs w:val="18"/>
      <w:lang w:val="pt-BR"/>
    </w:rPr>
  </w:style>
  <w:style w:type="paragraph" w:customStyle="1" w:styleId="5-TitreAPROPOS">
    <w:name w:val="5-Titre A PROPOS"/>
    <w:basedOn w:val="Titreparagraphe"/>
    <w:link w:val="5-TitreAPROPOSCar"/>
    <w:rsid w:val="00A905D1"/>
    <w:pPr>
      <w:pBdr>
        <w:left w:val="single" w:sz="4" w:space="4" w:color="581D74"/>
      </w:pBdr>
      <w:spacing w:before="0"/>
      <w:ind w:left="142"/>
    </w:pPr>
    <w:rPr>
      <w:color w:val="581D74"/>
      <w:sz w:val="18"/>
      <w:szCs w:val="18"/>
      <w:lang w:val="pt-BR"/>
    </w:rPr>
  </w:style>
  <w:style w:type="character" w:customStyle="1" w:styleId="5-TitreAPROPOSCar">
    <w:name w:val="5-Titre A PROPOS Car"/>
    <w:link w:val="5-TitreAPROPOS"/>
    <w:rsid w:val="00A905D1"/>
    <w:rPr>
      <w:rFonts w:ascii="Verdana" w:hAnsi="Verdana"/>
      <w:b/>
      <w:color w:val="581D74"/>
      <w:sz w:val="18"/>
      <w:szCs w:val="18"/>
      <w:lang w:val="pt-BR"/>
    </w:rPr>
  </w:style>
  <w:style w:type="paragraph" w:customStyle="1" w:styleId="7-APROPOS">
    <w:name w:val="7-A PROPOS"/>
    <w:basedOn w:val="Normal"/>
    <w:link w:val="7-APROPOSCar"/>
    <w:qFormat/>
    <w:rsid w:val="000A0838"/>
    <w:pPr>
      <w:pBdr>
        <w:left w:val="single" w:sz="4" w:space="4" w:color="581D74"/>
      </w:pBdr>
      <w:ind w:left="142"/>
    </w:pPr>
    <w:rPr>
      <w:i/>
      <w:sz w:val="18"/>
      <w:szCs w:val="18"/>
      <w:lang w:val="pt-BR"/>
    </w:rPr>
  </w:style>
  <w:style w:type="character" w:customStyle="1" w:styleId="7-APROPOSCar">
    <w:name w:val="7-A PROPOS Car"/>
    <w:link w:val="7-APROPOS"/>
    <w:rsid w:val="000A0838"/>
    <w:rPr>
      <w:rFonts w:ascii="Verdana" w:hAnsi="Verdana"/>
      <w:i/>
      <w:sz w:val="18"/>
      <w:szCs w:val="18"/>
      <w:lang w:val="pt-BR"/>
    </w:rPr>
  </w:style>
  <w:style w:type="paragraph" w:customStyle="1" w:styleId="7-TitreAPROPOS">
    <w:name w:val="7-Titre A PROPOS"/>
    <w:basedOn w:val="Titreparagraphe"/>
    <w:link w:val="7-TitreAPROPOSCar"/>
    <w:qFormat/>
    <w:rsid w:val="000A0838"/>
    <w:pPr>
      <w:pBdr>
        <w:left w:val="single" w:sz="4" w:space="4" w:color="581D74"/>
      </w:pBdr>
      <w:spacing w:before="0"/>
      <w:ind w:left="142"/>
    </w:pPr>
    <w:rPr>
      <w:color w:val="581D74"/>
      <w:sz w:val="18"/>
      <w:szCs w:val="18"/>
      <w:lang w:val="pt-BR"/>
    </w:rPr>
  </w:style>
  <w:style w:type="paragraph" w:customStyle="1" w:styleId="5-INTER">
    <w:name w:val="5-INTER"/>
    <w:basedOn w:val="Boldviolet"/>
    <w:link w:val="5-INTERCar"/>
    <w:rsid w:val="000A0838"/>
    <w:rPr>
      <w:spacing w:val="0"/>
    </w:rPr>
  </w:style>
  <w:style w:type="character" w:customStyle="1" w:styleId="7-TitreAPROPOSCar">
    <w:name w:val="7-Titre A PROPOS Car"/>
    <w:link w:val="7-TitreAPROPOS"/>
    <w:rsid w:val="000A0838"/>
    <w:rPr>
      <w:rFonts w:ascii="Verdana" w:hAnsi="Verdana"/>
      <w:b/>
      <w:color w:val="581D74"/>
      <w:sz w:val="18"/>
      <w:szCs w:val="18"/>
      <w:lang w:val="pt-BR"/>
    </w:rPr>
  </w:style>
  <w:style w:type="character" w:customStyle="1" w:styleId="5-INTERCar">
    <w:name w:val="5-INTER Car"/>
    <w:link w:val="5-INTER"/>
    <w:rsid w:val="000A0838"/>
    <w:rPr>
      <w:rFonts w:ascii="Verdana" w:eastAsia="Times New Roman" w:hAnsi="Verdana"/>
      <w:b/>
      <w:color w:val="581D74"/>
      <w:szCs w:val="24"/>
    </w:rPr>
  </w:style>
  <w:style w:type="paragraph" w:customStyle="1" w:styleId="6-LISTEPUCE">
    <w:name w:val="6- LISTE PUCE"/>
    <w:basedOn w:val="2-TEXTECOURANTcommuniqu"/>
    <w:link w:val="6-LISTEPUCECar"/>
    <w:qFormat/>
    <w:rsid w:val="000A0838"/>
    <w:pPr>
      <w:numPr>
        <w:numId w:val="7"/>
      </w:numPr>
    </w:pPr>
    <w:rPr>
      <w:spacing w:val="0"/>
    </w:rPr>
  </w:style>
  <w:style w:type="character" w:customStyle="1" w:styleId="6-LISTEPUCECar">
    <w:name w:val="6- LISTE PUCE Car"/>
    <w:link w:val="6-LISTEPUCE"/>
    <w:rsid w:val="000A0838"/>
    <w:rPr>
      <w:rFonts w:ascii="Verdana" w:hAnsi="Verdana"/>
    </w:rPr>
  </w:style>
  <w:style w:type="paragraph" w:customStyle="1" w:styleId="3-Titre1">
    <w:name w:val="3-Titre1"/>
    <w:basedOn w:val="2-TEXTECOURANTcommuniqu"/>
    <w:link w:val="3-Titre1Car"/>
    <w:qFormat/>
    <w:rsid w:val="000A0838"/>
    <w:pPr>
      <w:pBdr>
        <w:bottom w:val="single" w:sz="4" w:space="1" w:color="F47920"/>
      </w:pBdr>
      <w:tabs>
        <w:tab w:val="left" w:pos="426"/>
      </w:tabs>
      <w:spacing w:before="600" w:after="360"/>
    </w:pPr>
    <w:rPr>
      <w:b/>
      <w:color w:val="581D74"/>
      <w:sz w:val="22"/>
      <w:szCs w:val="22"/>
    </w:rPr>
  </w:style>
  <w:style w:type="character" w:customStyle="1" w:styleId="3-Titre1Car">
    <w:name w:val="3-Titre1 Car"/>
    <w:link w:val="3-Titre1"/>
    <w:rsid w:val="000A0838"/>
    <w:rPr>
      <w:rFonts w:ascii="Verdana" w:hAnsi="Verdana"/>
      <w:b/>
      <w:color w:val="581D74"/>
      <w:spacing w:val="-4"/>
      <w:sz w:val="22"/>
      <w:szCs w:val="22"/>
    </w:rPr>
  </w:style>
  <w:style w:type="character" w:customStyle="1" w:styleId="orange">
    <w:name w:val="orange"/>
    <w:uiPriority w:val="1"/>
    <w:qFormat/>
    <w:rsid w:val="000A0838"/>
    <w:rPr>
      <w:color w:val="F47920"/>
    </w:rPr>
  </w:style>
  <w:style w:type="paragraph" w:customStyle="1" w:styleId="3-Titre2">
    <w:name w:val="3-Titre2"/>
    <w:basedOn w:val="2-TEXTECOURANTcommuniqu"/>
    <w:link w:val="3-Titre2Car"/>
    <w:qFormat/>
    <w:rsid w:val="00696668"/>
    <w:pPr>
      <w:tabs>
        <w:tab w:val="left" w:pos="426"/>
      </w:tabs>
      <w:spacing w:before="480" w:after="240"/>
    </w:pPr>
    <w:rPr>
      <w:b/>
      <w:color w:val="581D74" w:themeColor="accent1"/>
    </w:rPr>
  </w:style>
  <w:style w:type="character" w:customStyle="1" w:styleId="3-Titre2Car">
    <w:name w:val="3-Titre2 Car"/>
    <w:basedOn w:val="2-TEXTECOURANTcommuniquCar"/>
    <w:link w:val="3-Titre2"/>
    <w:rsid w:val="00696668"/>
    <w:rPr>
      <w:rFonts w:ascii="Verdana" w:hAnsi="Verdana"/>
      <w:b/>
      <w:color w:val="581D74" w:themeColor="accent1"/>
      <w:spacing w:val="-4"/>
    </w:rPr>
  </w:style>
  <w:style w:type="paragraph" w:styleId="Notedebasdepage">
    <w:name w:val="footnote text"/>
    <w:basedOn w:val="Normal"/>
    <w:link w:val="NotedebasdepageCar"/>
    <w:uiPriority w:val="99"/>
    <w:rsid w:val="008E7554"/>
    <w:rPr>
      <w:sz w:val="14"/>
      <w:szCs w:val="20"/>
    </w:rPr>
  </w:style>
  <w:style w:type="character" w:customStyle="1" w:styleId="NotedebasdepageCar">
    <w:name w:val="Note de bas de page Car"/>
    <w:basedOn w:val="Policepardfaut"/>
    <w:link w:val="Notedebasdepage"/>
    <w:uiPriority w:val="99"/>
    <w:rsid w:val="008E7554"/>
    <w:rPr>
      <w:rFonts w:ascii="Verdana" w:hAnsi="Verdana"/>
      <w:sz w:val="14"/>
    </w:rPr>
  </w:style>
  <w:style w:type="character" w:styleId="Appelnotedebasdep">
    <w:name w:val="footnote reference"/>
    <w:basedOn w:val="Policepardfaut"/>
    <w:uiPriority w:val="99"/>
    <w:rsid w:val="00C17A07"/>
    <w:rPr>
      <w:vertAlign w:val="superscript"/>
    </w:rPr>
  </w:style>
  <w:style w:type="character" w:customStyle="1" w:styleId="Style">
    <w:name w:val="Style"/>
    <w:basedOn w:val="Appelnotedebasdep"/>
    <w:rsid w:val="008E7554"/>
    <w:rPr>
      <w:spacing w:val="-4"/>
      <w:sz w:val="14"/>
      <w:vertAlign w:val="superscript"/>
    </w:rPr>
  </w:style>
  <w:style w:type="character" w:customStyle="1" w:styleId="introCar">
    <w:name w:val="intro Car"/>
    <w:basedOn w:val="2-TEXTECOURANTcommuniquCar"/>
    <w:link w:val="intro"/>
    <w:rsid w:val="001659A3"/>
    <w:rPr>
      <w:rFonts w:ascii="Verdana" w:hAnsi="Verdana"/>
      <w:i/>
      <w:color w:val="825D69" w:themeColor="text2"/>
      <w:spacing w:val="-4"/>
      <w:sz w:val="18"/>
      <w:szCs w:val="18"/>
    </w:rPr>
  </w:style>
  <w:style w:type="paragraph" w:customStyle="1" w:styleId="3-Titre3">
    <w:name w:val="3-Titre3"/>
    <w:basedOn w:val="2-TEXTECOURANTcommuniqu"/>
    <w:link w:val="3-Titre3Car"/>
    <w:qFormat/>
    <w:rsid w:val="008E2B05"/>
    <w:pPr>
      <w:numPr>
        <w:numId w:val="12"/>
      </w:numPr>
    </w:pPr>
    <w:rPr>
      <w:b/>
    </w:rPr>
  </w:style>
  <w:style w:type="character" w:customStyle="1" w:styleId="4-SoustitreCar">
    <w:name w:val="4-Sous titre Car"/>
    <w:basedOn w:val="2-TEXTECOURANTcommuniquCar"/>
    <w:link w:val="4-Soustitre"/>
    <w:rsid w:val="008E2B05"/>
    <w:rPr>
      <w:rFonts w:ascii="Verdana" w:hAnsi="Verdana"/>
      <w:b/>
      <w:color w:val="581D74" w:themeColor="accent1"/>
      <w:spacing w:val="-4"/>
    </w:rPr>
  </w:style>
  <w:style w:type="character" w:customStyle="1" w:styleId="3-Titre3Car">
    <w:name w:val="3-Titre3 Car"/>
    <w:basedOn w:val="2-TEXTECOURANTcommuniquCar"/>
    <w:link w:val="3-Titre3"/>
    <w:rsid w:val="008E2B05"/>
    <w:rPr>
      <w:rFonts w:ascii="Verdana" w:hAnsi="Verdana"/>
      <w:b/>
      <w:spacing w:val="-4"/>
    </w:rPr>
  </w:style>
  <w:style w:type="paragraph" w:styleId="Paragraphedeliste">
    <w:name w:val="List Paragraph"/>
    <w:basedOn w:val="Normal"/>
    <w:uiPriority w:val="34"/>
    <w:rsid w:val="00A97BEA"/>
    <w:pPr>
      <w:ind w:left="720"/>
      <w:contextualSpacing/>
    </w:pPr>
  </w:style>
  <w:style w:type="paragraph" w:customStyle="1" w:styleId="Default">
    <w:name w:val="Default"/>
    <w:rsid w:val="00305441"/>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28870">
      <w:bodyDiv w:val="1"/>
      <w:marLeft w:val="0"/>
      <w:marRight w:val="0"/>
      <w:marTop w:val="0"/>
      <w:marBottom w:val="0"/>
      <w:divBdr>
        <w:top w:val="none" w:sz="0" w:space="0" w:color="auto"/>
        <w:left w:val="none" w:sz="0" w:space="0" w:color="auto"/>
        <w:bottom w:val="none" w:sz="0" w:space="0" w:color="auto"/>
        <w:right w:val="none" w:sz="0" w:space="0" w:color="auto"/>
      </w:divBdr>
    </w:div>
    <w:div w:id="653802470">
      <w:bodyDiv w:val="1"/>
      <w:marLeft w:val="0"/>
      <w:marRight w:val="0"/>
      <w:marTop w:val="0"/>
      <w:marBottom w:val="0"/>
      <w:divBdr>
        <w:top w:val="none" w:sz="0" w:space="0" w:color="auto"/>
        <w:left w:val="none" w:sz="0" w:space="0" w:color="auto"/>
        <w:bottom w:val="none" w:sz="0" w:space="0" w:color="auto"/>
        <w:right w:val="none" w:sz="0" w:space="0" w:color="auto"/>
      </w:divBdr>
      <w:divsChild>
        <w:div w:id="1496144344">
          <w:marLeft w:val="274"/>
          <w:marRight w:val="0"/>
          <w:marTop w:val="80"/>
          <w:marBottom w:val="0"/>
          <w:divBdr>
            <w:top w:val="none" w:sz="0" w:space="0" w:color="auto"/>
            <w:left w:val="none" w:sz="0" w:space="0" w:color="auto"/>
            <w:bottom w:val="none" w:sz="0" w:space="0" w:color="auto"/>
            <w:right w:val="none" w:sz="0" w:space="0" w:color="auto"/>
          </w:divBdr>
        </w:div>
        <w:div w:id="1158962263">
          <w:marLeft w:val="274"/>
          <w:marRight w:val="0"/>
          <w:marTop w:val="80"/>
          <w:marBottom w:val="0"/>
          <w:divBdr>
            <w:top w:val="none" w:sz="0" w:space="0" w:color="auto"/>
            <w:left w:val="none" w:sz="0" w:space="0" w:color="auto"/>
            <w:bottom w:val="none" w:sz="0" w:space="0" w:color="auto"/>
            <w:right w:val="none" w:sz="0" w:space="0" w:color="auto"/>
          </w:divBdr>
        </w:div>
        <w:div w:id="207567633">
          <w:marLeft w:val="274"/>
          <w:marRight w:val="0"/>
          <w:marTop w:val="80"/>
          <w:marBottom w:val="0"/>
          <w:divBdr>
            <w:top w:val="none" w:sz="0" w:space="0" w:color="auto"/>
            <w:left w:val="none" w:sz="0" w:space="0" w:color="auto"/>
            <w:bottom w:val="none" w:sz="0" w:space="0" w:color="auto"/>
            <w:right w:val="none" w:sz="0" w:space="0" w:color="auto"/>
          </w:divBdr>
        </w:div>
      </w:divsChild>
    </w:div>
    <w:div w:id="966203092">
      <w:bodyDiv w:val="1"/>
      <w:marLeft w:val="0"/>
      <w:marRight w:val="0"/>
      <w:marTop w:val="0"/>
      <w:marBottom w:val="0"/>
      <w:divBdr>
        <w:top w:val="none" w:sz="0" w:space="0" w:color="auto"/>
        <w:left w:val="none" w:sz="0" w:space="0" w:color="auto"/>
        <w:bottom w:val="none" w:sz="0" w:space="0" w:color="auto"/>
        <w:right w:val="none" w:sz="0" w:space="0" w:color="auto"/>
      </w:divBdr>
      <w:divsChild>
        <w:div w:id="205608927">
          <w:marLeft w:val="230"/>
          <w:marRight w:val="0"/>
          <w:marTop w:val="40"/>
          <w:marBottom w:val="0"/>
          <w:divBdr>
            <w:top w:val="none" w:sz="0" w:space="0" w:color="auto"/>
            <w:left w:val="none" w:sz="0" w:space="0" w:color="auto"/>
            <w:bottom w:val="none" w:sz="0" w:space="0" w:color="auto"/>
            <w:right w:val="none" w:sz="0" w:space="0" w:color="auto"/>
          </w:divBdr>
        </w:div>
      </w:divsChild>
    </w:div>
    <w:div w:id="1074233114">
      <w:bodyDiv w:val="1"/>
      <w:marLeft w:val="0"/>
      <w:marRight w:val="0"/>
      <w:marTop w:val="0"/>
      <w:marBottom w:val="0"/>
      <w:divBdr>
        <w:top w:val="none" w:sz="0" w:space="0" w:color="auto"/>
        <w:left w:val="none" w:sz="0" w:space="0" w:color="auto"/>
        <w:bottom w:val="none" w:sz="0" w:space="0" w:color="auto"/>
        <w:right w:val="none" w:sz="0" w:space="0" w:color="auto"/>
      </w:divBdr>
    </w:div>
    <w:div w:id="1654291478">
      <w:bodyDiv w:val="1"/>
      <w:marLeft w:val="0"/>
      <w:marRight w:val="0"/>
      <w:marTop w:val="0"/>
      <w:marBottom w:val="0"/>
      <w:divBdr>
        <w:top w:val="none" w:sz="0" w:space="0" w:color="auto"/>
        <w:left w:val="none" w:sz="0" w:space="0" w:color="auto"/>
        <w:bottom w:val="none" w:sz="0" w:space="0" w:color="auto"/>
        <w:right w:val="none" w:sz="0" w:space="0" w:color="auto"/>
      </w:divBdr>
      <w:divsChild>
        <w:div w:id="548154167">
          <w:marLeft w:val="0"/>
          <w:marRight w:val="0"/>
          <w:marTop w:val="0"/>
          <w:marBottom w:val="0"/>
          <w:divBdr>
            <w:top w:val="none" w:sz="0" w:space="0" w:color="auto"/>
            <w:left w:val="none" w:sz="0" w:space="0" w:color="auto"/>
            <w:bottom w:val="none" w:sz="0" w:space="0" w:color="auto"/>
            <w:right w:val="none" w:sz="0" w:space="0" w:color="auto"/>
          </w:divBdr>
          <w:divsChild>
            <w:div w:id="1441686823">
              <w:marLeft w:val="0"/>
              <w:marRight w:val="0"/>
              <w:marTop w:val="0"/>
              <w:marBottom w:val="0"/>
              <w:divBdr>
                <w:top w:val="none" w:sz="0" w:space="0" w:color="auto"/>
                <w:left w:val="none" w:sz="0" w:space="0" w:color="auto"/>
                <w:bottom w:val="none" w:sz="0" w:space="0" w:color="auto"/>
                <w:right w:val="none" w:sz="0" w:space="0" w:color="auto"/>
              </w:divBdr>
              <w:divsChild>
                <w:div w:id="375856019">
                  <w:marLeft w:val="0"/>
                  <w:marRight w:val="0"/>
                  <w:marTop w:val="0"/>
                  <w:marBottom w:val="0"/>
                  <w:divBdr>
                    <w:top w:val="none" w:sz="0" w:space="0" w:color="auto"/>
                    <w:left w:val="none" w:sz="0" w:space="0" w:color="auto"/>
                    <w:bottom w:val="none" w:sz="0" w:space="0" w:color="auto"/>
                    <w:right w:val="none" w:sz="0" w:space="0" w:color="auto"/>
                  </w:divBdr>
                  <w:divsChild>
                    <w:div w:id="1835605225">
                      <w:marLeft w:val="0"/>
                      <w:marRight w:val="0"/>
                      <w:marTop w:val="0"/>
                      <w:marBottom w:val="0"/>
                      <w:divBdr>
                        <w:top w:val="none" w:sz="0" w:space="0" w:color="auto"/>
                        <w:left w:val="none" w:sz="0" w:space="0" w:color="auto"/>
                        <w:bottom w:val="none" w:sz="0" w:space="0" w:color="auto"/>
                        <w:right w:val="none" w:sz="0" w:space="0" w:color="auto"/>
                      </w:divBdr>
                      <w:divsChild>
                        <w:div w:id="738670488">
                          <w:marLeft w:val="0"/>
                          <w:marRight w:val="0"/>
                          <w:marTop w:val="0"/>
                          <w:marBottom w:val="0"/>
                          <w:divBdr>
                            <w:top w:val="none" w:sz="0" w:space="0" w:color="auto"/>
                            <w:left w:val="none" w:sz="0" w:space="0" w:color="auto"/>
                            <w:bottom w:val="none" w:sz="0" w:space="0" w:color="auto"/>
                            <w:right w:val="none" w:sz="0" w:space="0" w:color="auto"/>
                          </w:divBdr>
                          <w:divsChild>
                            <w:div w:id="1122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95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vestor.relations@bpce.f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resse@bpce.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oupebpce.fr" TargetMode="External"/><Relationship Id="rId5" Type="http://schemas.openxmlformats.org/officeDocument/2006/relationships/settings" Target="settings.xml"/><Relationship Id="rId15" Type="http://schemas.openxmlformats.org/officeDocument/2006/relationships/hyperlink" Target="https://twitter.com/GroupeBPCE" TargetMode="External"/><Relationship Id="rId10" Type="http://schemas.openxmlformats.org/officeDocument/2006/relationships/hyperlink" Target="http://www.natixis.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bp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O:\DCG\DCG_Espace_commun\MODELES\COMMUNIQUES\CP-GroupeBPCE-OK.dotx" TargetMode="External"/></Relationships>
</file>

<file path=word/theme/theme1.xml><?xml version="1.0" encoding="utf-8"?>
<a:theme xmlns:a="http://schemas.openxmlformats.org/drawingml/2006/main" name="Thème Office">
  <a:themeElements>
    <a:clrScheme name="BPCE">
      <a:dk1>
        <a:srgbClr val="000000"/>
      </a:dk1>
      <a:lt1>
        <a:srgbClr val="FFFFFF"/>
      </a:lt1>
      <a:dk2>
        <a:srgbClr val="825D69"/>
      </a:dk2>
      <a:lt2>
        <a:srgbClr val="D6D2E3"/>
      </a:lt2>
      <a:accent1>
        <a:srgbClr val="581D74"/>
      </a:accent1>
      <a:accent2>
        <a:srgbClr val="A778AE"/>
      </a:accent2>
      <a:accent3>
        <a:srgbClr val="F47920"/>
      </a:accent3>
      <a:accent4>
        <a:srgbClr val="B0006C"/>
      </a:accent4>
      <a:accent5>
        <a:srgbClr val="BDCF41"/>
      </a:accent5>
      <a:accent6>
        <a:srgbClr val="00B2CB"/>
      </a:accent6>
      <a:hlink>
        <a:srgbClr val="976C9D"/>
      </a:hlink>
      <a:folHlink>
        <a:srgbClr val="00ABA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2CC33-929D-4574-ACDA-EB1511AD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CP-GroupeBPCE-OK</Template>
  <TotalTime>21</TotalTime>
  <Pages>18</Pages>
  <Words>7888</Words>
  <Characters>39997</Characters>
  <Application>Microsoft Office Word</Application>
  <DocSecurity>0</DocSecurity>
  <Lines>333</Lines>
  <Paragraphs>95</Paragraphs>
  <ScaleCrop>false</ScaleCrop>
  <HeadingPairs>
    <vt:vector size="2" baseType="variant">
      <vt:variant>
        <vt:lpstr>Titre</vt:lpstr>
      </vt:variant>
      <vt:variant>
        <vt:i4>1</vt:i4>
      </vt:variant>
    </vt:vector>
  </HeadingPairs>
  <TitlesOfParts>
    <vt:vector size="1" baseType="lpstr">
      <vt:lpstr>BPCE</vt:lpstr>
    </vt:vector>
  </TitlesOfParts>
  <Company>BPCE</Company>
  <LinksUpToDate>false</LinksUpToDate>
  <CharactersWithSpaces>47790</CharactersWithSpaces>
  <SharedDoc>false</SharedDoc>
  <HyperlinkBase/>
  <HLinks>
    <vt:vector size="12" baseType="variant">
      <vt:variant>
        <vt:i4>7733283</vt:i4>
      </vt:variant>
      <vt:variant>
        <vt:i4>3</vt:i4>
      </vt:variant>
      <vt:variant>
        <vt:i4>0</vt:i4>
      </vt:variant>
      <vt:variant>
        <vt:i4>5</vt:i4>
      </vt:variant>
      <vt:variant>
        <vt:lpwstr>http://www.bpce.fr/</vt:lpwstr>
      </vt:variant>
      <vt:variant>
        <vt:lpwstr/>
      </vt:variant>
      <vt:variant>
        <vt:i4>3604481</vt:i4>
      </vt:variant>
      <vt:variant>
        <vt:i4>0</vt:i4>
      </vt:variant>
      <vt:variant>
        <vt:i4>0</vt:i4>
      </vt:variant>
      <vt:variant>
        <vt:i4>5</vt:i4>
      </vt:variant>
      <vt:variant>
        <vt:lpwstr>mailto:presse@bpce.fr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BPCE</dc:title>
  <dc:creator>yollant</dc:creator>
  <cp:lastModifiedBy>declercq</cp:lastModifiedBy>
  <cp:revision>3</cp:revision>
  <cp:lastPrinted>2015-07-30T14:09:00Z</cp:lastPrinted>
  <dcterms:created xsi:type="dcterms:W3CDTF">2015-07-30T14:08:00Z</dcterms:created>
  <dcterms:modified xsi:type="dcterms:W3CDTF">2015-07-30T14:27:00Z</dcterms:modified>
</cp:coreProperties>
</file>